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0" w:rsidRPr="00F53548" w:rsidRDefault="00352361" w:rsidP="002637D0">
      <w:pPr>
        <w:shd w:val="clear" w:color="auto" w:fill="FFFFFF"/>
        <w:ind w:left="10065"/>
        <w:jc w:val="right"/>
        <w:rPr>
          <w:sz w:val="28"/>
          <w:szCs w:val="28"/>
          <w:lang w:val="uk-UA"/>
        </w:rPr>
      </w:pPr>
      <w:r w:rsidRPr="00F53548">
        <w:rPr>
          <w:sz w:val="28"/>
          <w:szCs w:val="28"/>
          <w:lang w:val="uk-UA"/>
        </w:rPr>
        <w:t>Додаток</w:t>
      </w:r>
      <w:r w:rsidR="002637D0" w:rsidRPr="00F53548">
        <w:rPr>
          <w:sz w:val="28"/>
          <w:szCs w:val="28"/>
          <w:lang w:val="uk-UA"/>
        </w:rPr>
        <w:t xml:space="preserve">1 </w:t>
      </w:r>
    </w:p>
    <w:p w:rsidR="002637D0" w:rsidRPr="00F53548" w:rsidRDefault="002637D0" w:rsidP="002637D0">
      <w:pPr>
        <w:shd w:val="clear" w:color="auto" w:fill="FFFFFF"/>
        <w:ind w:left="10065"/>
        <w:jc w:val="both"/>
        <w:rPr>
          <w:sz w:val="28"/>
          <w:szCs w:val="28"/>
          <w:lang w:val="uk-UA"/>
        </w:rPr>
      </w:pPr>
      <w:r w:rsidRPr="00F53548">
        <w:rPr>
          <w:sz w:val="28"/>
          <w:szCs w:val="28"/>
          <w:lang w:val="uk-UA"/>
        </w:rPr>
        <w:t>до Звіту за результатами оцінки корупційних ризиків у діяльності органів Державної прикордонної служби України</w:t>
      </w:r>
    </w:p>
    <w:p w:rsidR="004A2A07" w:rsidRPr="00F53548" w:rsidRDefault="004A2A07" w:rsidP="002637D0">
      <w:pPr>
        <w:shd w:val="clear" w:color="auto" w:fill="FFFFFF"/>
        <w:ind w:left="10065"/>
        <w:jc w:val="right"/>
        <w:rPr>
          <w:sz w:val="28"/>
          <w:szCs w:val="22"/>
          <w:lang w:val="uk-UA" w:eastAsia="uk-UA"/>
        </w:rPr>
      </w:pPr>
    </w:p>
    <w:p w:rsidR="00352361" w:rsidRPr="00F53548" w:rsidRDefault="00352361" w:rsidP="00CB4189">
      <w:pPr>
        <w:jc w:val="center"/>
        <w:rPr>
          <w:b/>
          <w:sz w:val="28"/>
          <w:szCs w:val="22"/>
          <w:lang w:val="uk-UA" w:eastAsia="uk-UA"/>
        </w:rPr>
      </w:pPr>
    </w:p>
    <w:p w:rsidR="00496C9E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 xml:space="preserve">Опис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ідентифік</w:t>
      </w:r>
      <w:r w:rsidR="00C91F5A" w:rsidRPr="00F53548">
        <w:rPr>
          <w:b/>
          <w:sz w:val="28"/>
          <w:szCs w:val="22"/>
          <w:lang w:val="uk-UA" w:eastAsia="uk-UA"/>
        </w:rPr>
        <w:t>ова</w:t>
      </w:r>
      <w:r w:rsidRPr="00F53548">
        <w:rPr>
          <w:b/>
          <w:sz w:val="28"/>
          <w:szCs w:val="22"/>
          <w:lang w:val="uk-UA" w:eastAsia="uk-UA"/>
        </w:rPr>
        <w:t>них к</w:t>
      </w:r>
      <w:r w:rsidR="006A0897" w:rsidRPr="00F53548">
        <w:rPr>
          <w:b/>
          <w:sz w:val="28"/>
          <w:szCs w:val="22"/>
          <w:lang w:val="uk-UA" w:eastAsia="uk-UA"/>
        </w:rPr>
        <w:t>орупційних ризиків у діяльності</w:t>
      </w:r>
      <w:r w:rsidR="00B47344">
        <w:rPr>
          <w:b/>
          <w:sz w:val="28"/>
          <w:szCs w:val="22"/>
          <w:lang w:val="uk-UA" w:eastAsia="uk-UA"/>
        </w:rPr>
        <w:t xml:space="preserve"> </w:t>
      </w:r>
      <w:r w:rsidR="00771622" w:rsidRPr="00F53548">
        <w:rPr>
          <w:b/>
          <w:sz w:val="28"/>
          <w:szCs w:val="22"/>
          <w:lang w:val="uk-UA" w:eastAsia="uk-UA"/>
        </w:rPr>
        <w:t>Державної прикордонної служби України</w:t>
      </w:r>
      <w:r w:rsidRPr="00F53548">
        <w:rPr>
          <w:b/>
          <w:sz w:val="28"/>
          <w:szCs w:val="22"/>
          <w:lang w:val="uk-UA" w:eastAsia="uk-UA"/>
        </w:rPr>
        <w:t xml:space="preserve">,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чинники корупційних ризиків та можливі наслідки корупційного право</w:t>
      </w:r>
      <w:r w:rsidR="003A000E" w:rsidRPr="00F53548">
        <w:rPr>
          <w:b/>
          <w:sz w:val="28"/>
          <w:szCs w:val="22"/>
          <w:lang w:val="uk-UA" w:eastAsia="uk-UA"/>
        </w:rPr>
        <w:t>по</w:t>
      </w:r>
      <w:r w:rsidRPr="00F53548">
        <w:rPr>
          <w:b/>
          <w:sz w:val="28"/>
          <w:szCs w:val="22"/>
          <w:lang w:val="uk-UA" w:eastAsia="uk-UA"/>
        </w:rPr>
        <w:t xml:space="preserve">рушення 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  <w:r w:rsidRPr="00F53548">
        <w:rPr>
          <w:b/>
          <w:sz w:val="28"/>
          <w:szCs w:val="22"/>
          <w:lang w:val="uk-UA" w:eastAsia="uk-UA"/>
        </w:rPr>
        <w:t>чи правопорушення, пов’язаного з корупцією</w:t>
      </w:r>
    </w:p>
    <w:p w:rsidR="000836FA" w:rsidRPr="00F53548" w:rsidRDefault="000836FA" w:rsidP="000836FA">
      <w:pPr>
        <w:jc w:val="center"/>
        <w:rPr>
          <w:b/>
          <w:sz w:val="28"/>
          <w:szCs w:val="22"/>
          <w:lang w:val="uk-UA"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0"/>
        <w:gridCol w:w="3544"/>
        <w:gridCol w:w="4712"/>
        <w:gridCol w:w="2835"/>
      </w:tblGrid>
      <w:tr w:rsidR="009B4B44" w:rsidRPr="00F53548" w:rsidTr="00311672">
        <w:trPr>
          <w:trHeight w:val="1814"/>
          <w:tblHeader/>
        </w:trPr>
        <w:tc>
          <w:tcPr>
            <w:tcW w:w="675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№</w:t>
            </w:r>
          </w:p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з/п</w:t>
            </w:r>
          </w:p>
        </w:tc>
        <w:tc>
          <w:tcPr>
            <w:tcW w:w="3510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Ідентифікований корупційний ризик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4712" w:type="dxa"/>
            <w:shd w:val="clear" w:color="auto" w:fill="EAF1DD"/>
            <w:vAlign w:val="center"/>
          </w:tcPr>
          <w:p w:rsidR="009B4B44" w:rsidRPr="00F53548" w:rsidRDefault="009B4B44" w:rsidP="009B4B44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Чинники  корупційного ризику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B4B44" w:rsidRPr="00F53548" w:rsidRDefault="009B4B44" w:rsidP="00C441ED">
            <w:pPr>
              <w:spacing w:line="240" w:lineRule="atLeast"/>
              <w:ind w:left="-108" w:right="-108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Можливі наслідки корупційного правопорушення чи правопорушення, пов’язаного</w:t>
            </w:r>
            <w:r w:rsidR="00C441ED" w:rsidRPr="00F53548">
              <w:rPr>
                <w:b/>
                <w:lang w:val="uk-UA"/>
              </w:rPr>
              <w:br/>
            </w:r>
            <w:r w:rsidRPr="00F53548">
              <w:rPr>
                <w:b/>
                <w:lang w:val="uk-UA"/>
              </w:rPr>
              <w:t>з корупцією</w:t>
            </w:r>
          </w:p>
        </w:tc>
      </w:tr>
      <w:tr w:rsidR="009B4B44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9B4B44" w:rsidRPr="00F53548" w:rsidRDefault="003735BD" w:rsidP="009B4B44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F53548">
              <w:rPr>
                <w:b/>
                <w:szCs w:val="22"/>
                <w:lang w:val="uk-UA"/>
              </w:rPr>
              <w:t>Управління матеріальними ресурсами</w:t>
            </w:r>
          </w:p>
        </w:tc>
      </w:tr>
      <w:tr w:rsidR="00EB485B" w:rsidRPr="00C570C6" w:rsidTr="00B4137D">
        <w:trPr>
          <w:trHeight w:val="2385"/>
        </w:trPr>
        <w:tc>
          <w:tcPr>
            <w:tcW w:w="675" w:type="dxa"/>
          </w:tcPr>
          <w:p w:rsidR="00EB485B" w:rsidRPr="00F53548" w:rsidRDefault="00136B95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EB485B" w:rsidRPr="00F53548" w:rsidRDefault="00EB485B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>Можливе недотримання відповідності напрямів використання державних коштів розпорядниками бюджетних коштів</w:t>
            </w:r>
          </w:p>
        </w:tc>
        <w:tc>
          <w:tcPr>
            <w:tcW w:w="3544" w:type="dxa"/>
          </w:tcPr>
          <w:p w:rsidR="00EB485B" w:rsidRPr="00F53548" w:rsidRDefault="008D6D2E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Використання отриманих матеріальних ресурсів не відповідно до цільового призначення</w:t>
            </w:r>
          </w:p>
        </w:tc>
        <w:tc>
          <w:tcPr>
            <w:tcW w:w="4712" w:type="dxa"/>
            <w:shd w:val="clear" w:color="auto" w:fill="auto"/>
          </w:tcPr>
          <w:p w:rsidR="00EB485B" w:rsidRPr="00F53548" w:rsidRDefault="008D6D2E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Наявність у військової посадової особи </w:t>
            </w:r>
            <w:r w:rsidR="005B1DE1" w:rsidRPr="00F53548">
              <w:rPr>
                <w:lang w:val="uk-UA"/>
              </w:rPr>
              <w:t xml:space="preserve">можливості </w:t>
            </w:r>
            <w:r w:rsidRPr="00F53548">
              <w:rPr>
                <w:lang w:val="uk-UA"/>
              </w:rPr>
              <w:t>задовольнити свій приватний інтерес. Недостатній контроль за діяльністю військової посадової особи.</w:t>
            </w:r>
          </w:p>
        </w:tc>
        <w:tc>
          <w:tcPr>
            <w:tcW w:w="2835" w:type="dxa"/>
            <w:shd w:val="clear" w:color="auto" w:fill="auto"/>
          </w:tcPr>
          <w:p w:rsidR="00EB485B" w:rsidRPr="00F53548" w:rsidRDefault="008D6D2E" w:rsidP="00C310A1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 w:rsidRPr="00F53548">
              <w:rPr>
                <w:spacing w:val="-16"/>
                <w:lang w:val="uk-UA"/>
              </w:rPr>
              <w:t>Отримання/надання власної або на користь третіх осіб неправомірної вигоди, втрата матеріальних ресурсів, нанесення збитків (матеріальної шкоди), настання кримінальної, дисциплінарної та/або цивільно-правової відповідальності, погіршення  іміджу державного органу</w:t>
            </w:r>
          </w:p>
        </w:tc>
      </w:tr>
      <w:tr w:rsidR="00EE0A90" w:rsidRPr="00C570C6" w:rsidTr="00B4137D">
        <w:trPr>
          <w:trHeight w:val="2385"/>
        </w:trPr>
        <w:tc>
          <w:tcPr>
            <w:tcW w:w="675" w:type="dxa"/>
          </w:tcPr>
          <w:p w:rsidR="00EE0A90" w:rsidRPr="00F53548" w:rsidRDefault="00B47637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3510" w:type="dxa"/>
            <w:shd w:val="clear" w:color="auto" w:fill="auto"/>
          </w:tcPr>
          <w:p w:rsidR="00EE0A90" w:rsidRPr="00F53548" w:rsidRDefault="00EE0A90" w:rsidP="00EE0A90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11"/>
                <w:sz w:val="24"/>
                <w:szCs w:val="24"/>
                <w:lang w:val="uk-UA" w:eastAsia="uk-UA"/>
              </w:rPr>
              <w:t>Недоброчесна</w:t>
            </w:r>
            <w:proofErr w:type="spellEnd"/>
            <w:r>
              <w:rPr>
                <w:rStyle w:val="211"/>
                <w:sz w:val="24"/>
                <w:szCs w:val="24"/>
                <w:lang w:val="uk-UA" w:eastAsia="uk-UA"/>
              </w:rPr>
              <w:t xml:space="preserve"> поведінка посадових осіб ДПСУ, що пов’язана з можливим незаконним та</w:t>
            </w:r>
            <w:r w:rsidR="006A10AC">
              <w:rPr>
                <w:rStyle w:val="211"/>
                <w:sz w:val="24"/>
                <w:szCs w:val="24"/>
                <w:lang w:val="uk-UA" w:eastAsia="uk-UA"/>
              </w:rPr>
              <w:t>/або</w:t>
            </w:r>
            <w:r>
              <w:rPr>
                <w:rStyle w:val="211"/>
                <w:sz w:val="24"/>
                <w:szCs w:val="24"/>
                <w:lang w:val="uk-UA" w:eastAsia="uk-UA"/>
              </w:rPr>
              <w:t xml:space="preserve"> неефективним витрачанням бюджетних коштів на об’єктах капітального будівництва</w:t>
            </w:r>
          </w:p>
        </w:tc>
        <w:tc>
          <w:tcPr>
            <w:tcW w:w="3544" w:type="dxa"/>
          </w:tcPr>
          <w:p w:rsidR="00EE0A90" w:rsidRPr="00F53548" w:rsidRDefault="00EE0A90" w:rsidP="00467CEC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Існує ймовірність викривлення посадовою особою обліку понесених витрат на об’єкті будівництва, у тому числі шляхом завищення сум при проведенні робіт з одночасним заниженням вартості обладнання</w:t>
            </w:r>
            <w:r w:rsidR="00B809A9">
              <w:rPr>
                <w:lang w:val="uk-UA"/>
              </w:rPr>
              <w:t xml:space="preserve">; незаконне перерахування бюджетних коштів підрядникам за обсяги фактично не виконаних робіт; здороження вартості будівельно-монтажних робіт за рахунок придбання та монтажу надлишкового обладнання </w:t>
            </w:r>
          </w:p>
        </w:tc>
        <w:tc>
          <w:tcPr>
            <w:tcW w:w="4712" w:type="dxa"/>
            <w:shd w:val="clear" w:color="auto" w:fill="auto"/>
          </w:tcPr>
          <w:p w:rsidR="00B809A9" w:rsidRDefault="00B809A9" w:rsidP="00C310A1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Приватний інтерес посадової особи; </w:t>
            </w:r>
            <w:r w:rsidRPr="00F53548">
              <w:rPr>
                <w:lang w:val="uk-UA"/>
              </w:rPr>
              <w:t>Відсутність належної системи контролю за дотриманням законодавчих, нормативно-правових актів, розпорядчих документів, невиконання посадових інструкцій та функціональних обов’язків</w:t>
            </w:r>
            <w:r w:rsidR="00467CEC">
              <w:rPr>
                <w:lang w:val="uk-UA"/>
              </w:rPr>
              <w:t xml:space="preserve"> при оплаті послуг та робіт на об’єктах капітального будівництва; Переведення бюджетних коштів на рахунок підрядника без візування актів виконаних робіт представниками технічного нагляду, не проведення перевірки цін на матеріали, розцінки на роботи тощо</w:t>
            </w:r>
            <w:r w:rsidRPr="00F53548">
              <w:rPr>
                <w:lang w:val="uk-UA"/>
              </w:rPr>
              <w:t xml:space="preserve"> </w:t>
            </w:r>
          </w:p>
          <w:p w:rsidR="00EE0A90" w:rsidRPr="00F53548" w:rsidRDefault="00EE0A90" w:rsidP="00C310A1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E0A90" w:rsidRPr="00F53548" w:rsidRDefault="00467CEC" w:rsidP="00C310A1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 w:rsidRPr="00F53548">
              <w:rPr>
                <w:spacing w:val="-16"/>
                <w:lang w:val="uk-UA"/>
              </w:rPr>
              <w:t>Отримання/надання власної або на користь третіх осіб неправомірної вигоди, втрата матеріальних ресурсів, нанесення збитків (матеріальної шкоди), настання кримінальної, дисциплінарної та/або цивільно-правової відповідальності, погіршення  іміджу державного органу</w:t>
            </w:r>
          </w:p>
        </w:tc>
      </w:tr>
      <w:tr w:rsidR="008D6D2E" w:rsidRPr="00F53548" w:rsidTr="00B4137D">
        <w:trPr>
          <w:trHeight w:val="2385"/>
        </w:trPr>
        <w:tc>
          <w:tcPr>
            <w:tcW w:w="675" w:type="dxa"/>
          </w:tcPr>
          <w:p w:rsidR="008D6D2E" w:rsidRPr="00F53548" w:rsidRDefault="00B47637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8D6D2E" w:rsidRPr="00F53548" w:rsidRDefault="00B11C12" w:rsidP="00C310A1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B11C12">
              <w:rPr>
                <w:rStyle w:val="211"/>
                <w:sz w:val="24"/>
                <w:szCs w:val="24"/>
                <w:lang w:val="uk-UA" w:eastAsia="uk-UA"/>
              </w:rPr>
              <w:t>М</w:t>
            </w:r>
            <w:r>
              <w:rPr>
                <w:rStyle w:val="211"/>
                <w:sz w:val="24"/>
                <w:szCs w:val="24"/>
                <w:lang w:val="uk-UA" w:eastAsia="uk-UA"/>
              </w:rPr>
              <w:t>ожливі зловживання п</w:t>
            </w:r>
            <w:r w:rsidR="004A4B05">
              <w:rPr>
                <w:rStyle w:val="211"/>
                <w:sz w:val="24"/>
                <w:szCs w:val="24"/>
                <w:lang w:val="uk-UA" w:eastAsia="uk-UA"/>
              </w:rPr>
              <w:t>ри розподілі</w:t>
            </w:r>
            <w:r w:rsidRPr="00B11C12">
              <w:rPr>
                <w:rStyle w:val="211"/>
                <w:sz w:val="24"/>
                <w:szCs w:val="24"/>
                <w:lang w:val="uk-UA" w:eastAsia="uk-UA"/>
              </w:rPr>
              <w:t xml:space="preserve"> службового житла серед військовослужбовців ДПСУ</w:t>
            </w:r>
          </w:p>
        </w:tc>
        <w:tc>
          <w:tcPr>
            <w:tcW w:w="3544" w:type="dxa"/>
          </w:tcPr>
          <w:p w:rsidR="008D6D2E" w:rsidRPr="00F53548" w:rsidRDefault="00742B49" w:rsidP="00742B49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Існує ймовірність надання переваги головою житлової комісії певному військовослужбовцю при розподіленні службового житла</w:t>
            </w:r>
            <w:r w:rsidR="003E0BDB" w:rsidRPr="00F53548">
              <w:rPr>
                <w:lang w:val="uk-UA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AB733A" w:rsidRPr="00F53548" w:rsidRDefault="00AB733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Недостатня прозорість механізму надання </w:t>
            </w:r>
            <w:r w:rsidR="00310F1B" w:rsidRPr="00F53548">
              <w:rPr>
                <w:lang w:val="uk-UA"/>
              </w:rPr>
              <w:t>службового</w:t>
            </w:r>
            <w:r w:rsidR="00EC4551" w:rsidRPr="00F53548">
              <w:rPr>
                <w:lang w:val="uk-UA"/>
              </w:rPr>
              <w:t xml:space="preserve"> </w:t>
            </w:r>
            <w:r w:rsidRPr="00F53548">
              <w:rPr>
                <w:lang w:val="uk-UA"/>
              </w:rPr>
              <w:t>житла військовослужбовцям та членам їх сімей.</w:t>
            </w:r>
          </w:p>
          <w:p w:rsidR="008D6D2E" w:rsidRPr="00F53548" w:rsidRDefault="008D6D2E" w:rsidP="00C310A1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A075D" w:rsidRPr="00F53548" w:rsidRDefault="00CA075D" w:rsidP="00CA075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Порушення соціальних гарантій та прав військо</w:t>
            </w:r>
            <w:r w:rsidR="00306BB0" w:rsidRPr="00F53548">
              <w:rPr>
                <w:lang w:val="uk-UA"/>
              </w:rPr>
              <w:t>вослужбовців та членів їх сімей,погіршення</w:t>
            </w:r>
            <w:r w:rsidRPr="00F53548">
              <w:rPr>
                <w:lang w:val="uk-UA"/>
              </w:rPr>
              <w:t xml:space="preserve"> іміджу </w:t>
            </w:r>
            <w:r w:rsidR="00306BB0" w:rsidRPr="00F53548">
              <w:rPr>
                <w:lang w:val="uk-UA"/>
              </w:rPr>
              <w:t>державного органу</w:t>
            </w:r>
          </w:p>
          <w:p w:rsidR="008D6D2E" w:rsidRPr="00F53548" w:rsidRDefault="008D6D2E" w:rsidP="00C310A1">
            <w:pPr>
              <w:spacing w:line="240" w:lineRule="atLeast"/>
              <w:jc w:val="both"/>
              <w:rPr>
                <w:spacing w:val="-16"/>
                <w:lang w:val="uk-UA"/>
              </w:rPr>
            </w:pPr>
          </w:p>
        </w:tc>
      </w:tr>
      <w:tr w:rsidR="00E41C35" w:rsidRPr="00C570C6" w:rsidTr="00B4137D">
        <w:trPr>
          <w:trHeight w:val="2385"/>
        </w:trPr>
        <w:tc>
          <w:tcPr>
            <w:tcW w:w="675" w:type="dxa"/>
          </w:tcPr>
          <w:p w:rsidR="00E41C35" w:rsidRPr="00F53548" w:rsidRDefault="006A10AC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3510" w:type="dxa"/>
            <w:shd w:val="clear" w:color="auto" w:fill="auto"/>
          </w:tcPr>
          <w:p w:rsidR="00E41C35" w:rsidRPr="00F53548" w:rsidRDefault="00E41C35" w:rsidP="00C310A1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proofErr w:type="spellStart"/>
            <w:r w:rsidRPr="00F53548">
              <w:rPr>
                <w:lang w:val="uk-UA"/>
              </w:rPr>
              <w:t>Недоброчесна</w:t>
            </w:r>
            <w:proofErr w:type="spellEnd"/>
            <w:r w:rsidRPr="00F53548">
              <w:rPr>
                <w:lang w:val="uk-UA"/>
              </w:rPr>
              <w:t xml:space="preserve"> поведінка посадових осіб ДПСУ щодо проведення безпідставного списання матеріальних ресурсів</w:t>
            </w:r>
          </w:p>
        </w:tc>
        <w:tc>
          <w:tcPr>
            <w:tcW w:w="3544" w:type="dxa"/>
          </w:tcPr>
          <w:p w:rsidR="00E41C35" w:rsidRPr="00F53548" w:rsidRDefault="00E41C35" w:rsidP="008D6D2E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Списання матеріальних ресурсів, які не втратили ознаки активу та можуть бути використані, відновлені, передані іншим користувачам, тощо з метою зняття його з обліку та подальшого використання в інших цілях</w:t>
            </w:r>
          </w:p>
        </w:tc>
        <w:tc>
          <w:tcPr>
            <w:tcW w:w="4712" w:type="dxa"/>
            <w:shd w:val="clear" w:color="auto" w:fill="auto"/>
          </w:tcPr>
          <w:p w:rsidR="00E41C35" w:rsidRPr="00F53548" w:rsidRDefault="00E41C35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Відсутність належної системи контролю за дотриманням законодавчих, нормативно-правових актів, розпорядчих документів, невиконання посадових інструкцій та функціональних обов’язків, внесенням </w:t>
            </w:r>
            <w:r w:rsidR="00A73DA7" w:rsidRPr="00F53548">
              <w:rPr>
                <w:lang w:val="uk-UA"/>
              </w:rPr>
              <w:t>не</w:t>
            </w:r>
            <w:r w:rsidRPr="00F53548">
              <w:rPr>
                <w:lang w:val="uk-UA"/>
              </w:rPr>
              <w:t>достовірних даних до первинних документів посадовими особами структурних підрозділів Адміністрації, органів та підрозділів Держприкордонслужби</w:t>
            </w:r>
          </w:p>
        </w:tc>
        <w:tc>
          <w:tcPr>
            <w:tcW w:w="2835" w:type="dxa"/>
            <w:shd w:val="clear" w:color="auto" w:fill="auto"/>
          </w:tcPr>
          <w:p w:rsidR="00E41C35" w:rsidRPr="00F53548" w:rsidRDefault="00E41C35" w:rsidP="00CA07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lang w:val="uk-UA"/>
              </w:rPr>
            </w:pPr>
            <w:r w:rsidRPr="00F53548">
              <w:rPr>
                <w:spacing w:val="-16"/>
                <w:lang w:val="uk-UA"/>
              </w:rPr>
              <w:t>Отримання/надання власної або на користь третіх осіб неправомірної вигоди, втрата матеріальних ресурсів, нанесення збитків (матеріальної шкоди), настання кримінальної, дисциплінарної та/або цивільно-правової відповідальності, погіршення іміджу державного органу</w:t>
            </w:r>
          </w:p>
        </w:tc>
      </w:tr>
      <w:tr w:rsidR="00E41C35" w:rsidRPr="00F53548" w:rsidTr="00B4137D">
        <w:trPr>
          <w:trHeight w:val="2385"/>
        </w:trPr>
        <w:tc>
          <w:tcPr>
            <w:tcW w:w="675" w:type="dxa"/>
          </w:tcPr>
          <w:p w:rsidR="00E41C35" w:rsidRPr="00F53548" w:rsidRDefault="006A10AC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E41C35" w:rsidRPr="00F53548" w:rsidRDefault="004E23C9" w:rsidP="0024568D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6273E8">
              <w:rPr>
                <w:lang w:val="uk-UA"/>
              </w:rPr>
              <w:t>Недоброчесна</w:t>
            </w:r>
            <w:proofErr w:type="spellEnd"/>
            <w:r w:rsidRPr="006273E8">
              <w:rPr>
                <w:lang w:val="uk-UA"/>
              </w:rPr>
              <w:t xml:space="preserve"> поведінка посадових осіб ДПСУ щодо</w:t>
            </w:r>
            <w:r>
              <w:rPr>
                <w:lang w:val="uk-UA"/>
              </w:rPr>
              <w:t xml:space="preserve"> надання переваги при визначенні</w:t>
            </w:r>
            <w:r w:rsidRPr="006273E8">
              <w:rPr>
                <w:lang w:val="uk-UA"/>
              </w:rPr>
              <w:t xml:space="preserve"> постачальників товарів, робіт та послуг при здійсненні закупівель</w:t>
            </w:r>
          </w:p>
        </w:tc>
        <w:tc>
          <w:tcPr>
            <w:tcW w:w="3544" w:type="dxa"/>
          </w:tcPr>
          <w:p w:rsidR="00E41C35" w:rsidRPr="00F53548" w:rsidRDefault="009A52B1" w:rsidP="00E41C35">
            <w:pPr>
              <w:tabs>
                <w:tab w:val="left" w:pos="375"/>
              </w:tabs>
              <w:ind w:left="34"/>
              <w:jc w:val="both"/>
              <w:rPr>
                <w:lang w:val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>Наявність у особи конфлікту інтересів, м</w:t>
            </w:r>
            <w:r w:rsidR="00E41C35" w:rsidRPr="00F53548">
              <w:rPr>
                <w:rStyle w:val="211"/>
                <w:sz w:val="24"/>
                <w:szCs w:val="24"/>
                <w:lang w:val="uk-UA" w:eastAsia="uk-UA"/>
              </w:rPr>
              <w:t xml:space="preserve">ожливість використання посадового становища для  лобіювання інтересів певних торговельних марок, фірм чи виробників  </w:t>
            </w:r>
            <w:r w:rsidR="00E41C35" w:rsidRPr="00F53548">
              <w:rPr>
                <w:lang w:val="uk-UA"/>
              </w:rPr>
              <w:t xml:space="preserve">з метою одержання неправомірної вигоди для себе чи інших осіб. </w:t>
            </w:r>
          </w:p>
          <w:p w:rsidR="00E41C35" w:rsidRPr="00F53548" w:rsidRDefault="00E41C35" w:rsidP="008D6D2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4712" w:type="dxa"/>
            <w:shd w:val="clear" w:color="auto" w:fill="auto"/>
          </w:tcPr>
          <w:p w:rsidR="00E41C35" w:rsidRDefault="00E41C35" w:rsidP="009A52B1">
            <w:pPr>
              <w:tabs>
                <w:tab w:val="left" w:pos="-74"/>
              </w:tabs>
              <w:spacing w:line="238" w:lineRule="exac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Приватний інтерес посадових осіб щодо надання переваг певним постачальникам товарів, робіт чи послуг</w:t>
            </w:r>
            <w:r w:rsidR="0024568D">
              <w:rPr>
                <w:lang w:val="uk-UA"/>
              </w:rPr>
              <w:t>.</w:t>
            </w:r>
          </w:p>
          <w:p w:rsidR="0024568D" w:rsidRPr="00F53548" w:rsidRDefault="0024568D" w:rsidP="009A52B1">
            <w:pPr>
              <w:tabs>
                <w:tab w:val="left" w:pos="-74"/>
              </w:tabs>
              <w:spacing w:line="238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E41C35" w:rsidRPr="00F53548" w:rsidRDefault="00E41C35" w:rsidP="001E7960">
            <w:pPr>
              <w:tabs>
                <w:tab w:val="left" w:pos="428"/>
              </w:tabs>
              <w:spacing w:line="242" w:lineRule="exact"/>
              <w:ind w:left="35" w:right="126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Можливі фінансові втрати, притягнення осіб до адміністративної відповідальності, втрата репутації, судові процеси проти державного органу</w:t>
            </w:r>
          </w:p>
        </w:tc>
      </w:tr>
      <w:tr w:rsidR="000E508A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3735BD">
            <w:pPr>
              <w:spacing w:line="240" w:lineRule="atLeast"/>
              <w:jc w:val="center"/>
              <w:rPr>
                <w:lang w:val="uk-UA"/>
              </w:rPr>
            </w:pPr>
            <w:r w:rsidRPr="00F53548">
              <w:rPr>
                <w:b/>
                <w:lang w:val="uk-UA"/>
              </w:rPr>
              <w:t>Управління фінансами</w:t>
            </w:r>
          </w:p>
        </w:tc>
      </w:tr>
      <w:tr w:rsidR="000E508A" w:rsidRPr="00F53548" w:rsidTr="003735BD">
        <w:trPr>
          <w:trHeight w:val="510"/>
        </w:trPr>
        <w:tc>
          <w:tcPr>
            <w:tcW w:w="675" w:type="dxa"/>
          </w:tcPr>
          <w:p w:rsidR="000E508A" w:rsidRPr="00F53548" w:rsidRDefault="003B163B" w:rsidP="009C44F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Викривлення даних </w:t>
            </w:r>
            <w:r w:rsidRPr="00F53548">
              <w:rPr>
                <w:shd w:val="clear" w:color="auto" w:fill="FFFFFF"/>
                <w:lang w:val="uk-UA"/>
              </w:rPr>
              <w:t>фінансової, бюджетної та іншої звітності, їх невідповідність обліковим даним бухгалтерського обліку</w:t>
            </w:r>
          </w:p>
        </w:tc>
        <w:tc>
          <w:tcPr>
            <w:tcW w:w="3544" w:type="dxa"/>
          </w:tcPr>
          <w:p w:rsidR="000E508A" w:rsidRPr="00F53548" w:rsidRDefault="000E508A" w:rsidP="003C0F6B">
            <w:pPr>
              <w:spacing w:line="240" w:lineRule="atLeast"/>
              <w:rPr>
                <w:lang w:val="uk-UA"/>
              </w:rPr>
            </w:pPr>
            <w:r w:rsidRPr="00F53548">
              <w:rPr>
                <w:lang w:val="uk-UA"/>
              </w:rPr>
              <w:t>Невідповідність даних звітності реальному фінансовому стану.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131C90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F53548">
              <w:rPr>
                <w:lang w:val="uk-UA"/>
              </w:rPr>
              <w:t>Недоброчесність</w:t>
            </w:r>
            <w:proofErr w:type="spellEnd"/>
            <w:r w:rsidRPr="00F53548">
              <w:rPr>
                <w:lang w:val="uk-UA"/>
              </w:rPr>
              <w:t xml:space="preserve"> посадових осіб. Недотримання вимог нормативно-правових актів при відображенні даних в бухгалтерському обліку та складанні звітності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31C90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Можливі фінансові втрати, притягнення осіб до адміністративної відповідальності, втрата репутації, судові процеси проти державного органу</w:t>
            </w:r>
          </w:p>
        </w:tc>
      </w:tr>
      <w:tr w:rsidR="000E508A" w:rsidRPr="00F53548" w:rsidTr="003735BD">
        <w:trPr>
          <w:trHeight w:val="510"/>
        </w:trPr>
        <w:tc>
          <w:tcPr>
            <w:tcW w:w="675" w:type="dxa"/>
          </w:tcPr>
          <w:p w:rsidR="000E508A" w:rsidRPr="00F53548" w:rsidRDefault="003B163B" w:rsidP="009C44F7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Наявність у військової посадової особи можливості задовольнити свій приватний інтерес у зв’язку з виконанням своїх службових обов’язків під час планування і фактичного використання бюджетних коштів.</w:t>
            </w:r>
          </w:p>
        </w:tc>
        <w:tc>
          <w:tcPr>
            <w:tcW w:w="3544" w:type="dxa"/>
          </w:tcPr>
          <w:p w:rsidR="000E508A" w:rsidRPr="00F53548" w:rsidRDefault="000E508A" w:rsidP="006D7A2E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Використання приватного інтересу під час планування видатків до кошторису, а також визначення черговості включення документів для здійснення розрахунків за укладеними договорами з урахуванням виділених асигнувань на поточний місяць.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6D7A2E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F53548">
              <w:rPr>
                <w:lang w:val="uk-UA"/>
              </w:rPr>
              <w:t>Недоброчесність</w:t>
            </w:r>
            <w:proofErr w:type="spellEnd"/>
            <w:r w:rsidRPr="00F53548">
              <w:rPr>
                <w:lang w:val="uk-UA"/>
              </w:rPr>
              <w:t xml:space="preserve"> посадових осіб. Враховуючи щомісячний розподіл відкритих асигнувань виникає можливість відбору для забезпечення щомісячних видатків з урахуванням приватного інтересу посадових осіб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6559CC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Можливі фінансові втрати, притягнення осіб до адміністративної відповідальності, втрата репутації державного органу</w:t>
            </w:r>
          </w:p>
        </w:tc>
      </w:tr>
      <w:tr w:rsidR="000E508A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3A5110">
            <w:pPr>
              <w:spacing w:line="240" w:lineRule="atLeast"/>
              <w:jc w:val="center"/>
              <w:rPr>
                <w:lang w:val="uk-UA"/>
              </w:rPr>
            </w:pPr>
            <w:r w:rsidRPr="00F53548">
              <w:rPr>
                <w:b/>
                <w:lang w:val="uk-UA"/>
              </w:rPr>
              <w:t>Публічні закупівлі</w:t>
            </w:r>
          </w:p>
        </w:tc>
      </w:tr>
      <w:tr w:rsidR="000E508A" w:rsidRPr="00F53548" w:rsidTr="003735BD">
        <w:trPr>
          <w:trHeight w:val="510"/>
        </w:trPr>
        <w:tc>
          <w:tcPr>
            <w:tcW w:w="675" w:type="dxa"/>
          </w:tcPr>
          <w:p w:rsidR="000E508A" w:rsidRPr="00F53548" w:rsidRDefault="007D17C2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6559CC">
            <w:pPr>
              <w:spacing w:line="232" w:lineRule="exac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Недброчесна</w:t>
            </w:r>
            <w:proofErr w:type="spellEnd"/>
            <w:r>
              <w:rPr>
                <w:lang w:val="uk-UA"/>
              </w:rPr>
              <w:t xml:space="preserve"> поведінка</w:t>
            </w:r>
            <w:r w:rsidRPr="00F53548">
              <w:rPr>
                <w:lang w:val="uk-UA"/>
              </w:rPr>
              <w:t xml:space="preserve"> військовослужбовців та працівників ДПСУ, які входять до складу тендерного комітету</w:t>
            </w:r>
          </w:p>
        </w:tc>
        <w:tc>
          <w:tcPr>
            <w:tcW w:w="3544" w:type="dxa"/>
          </w:tcPr>
          <w:p w:rsidR="000E508A" w:rsidRPr="00F53548" w:rsidRDefault="000E508A" w:rsidP="002A430E">
            <w:pPr>
              <w:tabs>
                <w:tab w:val="left" w:pos="375"/>
              </w:tabs>
              <w:ind w:left="34"/>
              <w:jc w:val="both"/>
              <w:rPr>
                <w:lang w:val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 xml:space="preserve">Можливість використання посадового становища для  лобіювання інтересів певних торговельних марок, фірм чи виробників  </w:t>
            </w:r>
            <w:r w:rsidRPr="00F53548">
              <w:rPr>
                <w:lang w:val="uk-UA"/>
              </w:rPr>
              <w:t xml:space="preserve">з метою одержання неправомірної вигоди для себе чи інших осіб. </w:t>
            </w:r>
          </w:p>
          <w:p w:rsidR="000E508A" w:rsidRPr="00F53548" w:rsidRDefault="000E508A" w:rsidP="002A430E">
            <w:pPr>
              <w:tabs>
                <w:tab w:val="left" w:pos="375"/>
              </w:tabs>
              <w:ind w:left="34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lang w:val="uk-UA"/>
              </w:rPr>
              <w:t>Встановлення в тендерній документації вимог до предмета закупівлі з посиланням на конкретну торговельну марку чи фірму, патент, конструкцію або тип предмета закупівлі, джерело його походження або виробника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C310A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Приватний інтерес посадових осіб, які входять до складу тендерного комітету.</w:t>
            </w:r>
          </w:p>
          <w:p w:rsidR="000E508A" w:rsidRPr="00F53548" w:rsidRDefault="000E508A" w:rsidP="00C310A1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Відсутність належного, у т.ч. зовнішнього контролю за підготовкою необхідної документації.</w:t>
            </w:r>
            <w:r w:rsidR="0024568D">
              <w:rPr>
                <w:lang w:val="uk-UA"/>
              </w:rPr>
              <w:t xml:space="preserve"> Недостатня обізнаність посадових осіб щодо вимог антикорупційного законодавства</w:t>
            </w:r>
          </w:p>
          <w:p w:rsidR="000E508A" w:rsidRPr="00F53548" w:rsidRDefault="000E508A" w:rsidP="002A430E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C310A1">
            <w:pPr>
              <w:tabs>
                <w:tab w:val="left" w:pos="428"/>
              </w:tabs>
              <w:spacing w:line="242" w:lineRule="exact"/>
              <w:ind w:left="35" w:right="126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Можливі фінансові втрати, притягнення осіб до адміністративної відповідальності, втрата репутації, судові процеси проти державного органу</w:t>
            </w:r>
          </w:p>
        </w:tc>
      </w:tr>
      <w:tr w:rsidR="000E508A" w:rsidRPr="00F53548" w:rsidTr="003735BD">
        <w:trPr>
          <w:trHeight w:val="510"/>
        </w:trPr>
        <w:tc>
          <w:tcPr>
            <w:tcW w:w="675" w:type="dxa"/>
          </w:tcPr>
          <w:p w:rsidR="000E508A" w:rsidRPr="00F53548" w:rsidRDefault="007D17C2" w:rsidP="009B4B4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rStyle w:val="211"/>
                <w:b/>
                <w:sz w:val="24"/>
                <w:szCs w:val="24"/>
                <w:lang w:val="uk-UA" w:eastAsia="uk-UA"/>
              </w:rPr>
            </w:pPr>
            <w:r>
              <w:rPr>
                <w:rStyle w:val="211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C310A1">
            <w:pPr>
              <w:spacing w:line="232" w:lineRule="exac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Завищення очікуваної вартості будівельних матеріалів, товарів і послуг, що використовуються </w:t>
            </w:r>
            <w:r w:rsidRPr="00F53548">
              <w:rPr>
                <w:lang w:val="uk-UA"/>
              </w:rPr>
              <w:lastRenderedPageBreak/>
              <w:t>при спорудженні об’єктів будівництва за рахунок застосування найдорожчих матеріалів (виробів) при опрацюванні проектів та надалі застосування більш дешевших матеріалів (виробів) під час фактичного виконання будівельних робіт</w:t>
            </w:r>
          </w:p>
        </w:tc>
        <w:tc>
          <w:tcPr>
            <w:tcW w:w="3544" w:type="dxa"/>
          </w:tcPr>
          <w:p w:rsidR="000E508A" w:rsidRPr="00F53548" w:rsidRDefault="000E508A" w:rsidP="001E7960">
            <w:pPr>
              <w:tabs>
                <w:tab w:val="left" w:pos="375"/>
              </w:tabs>
              <w:ind w:left="34"/>
              <w:jc w:val="both"/>
              <w:rPr>
                <w:lang w:val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lastRenderedPageBreak/>
              <w:t xml:space="preserve">Можливість використання посадового становища для  лобіювання інтересів певних </w:t>
            </w:r>
            <w:r w:rsidRPr="00F53548">
              <w:rPr>
                <w:rStyle w:val="211"/>
                <w:sz w:val="24"/>
                <w:szCs w:val="24"/>
                <w:lang w:val="uk-UA" w:eastAsia="uk-UA"/>
              </w:rPr>
              <w:lastRenderedPageBreak/>
              <w:t xml:space="preserve">торговельних марок, фірм чи виробників  </w:t>
            </w:r>
            <w:r w:rsidRPr="00F53548">
              <w:rPr>
                <w:lang w:val="uk-UA"/>
              </w:rPr>
              <w:t>з метою одержання неправомірної вигоди для себе чи інших осіб.</w:t>
            </w:r>
          </w:p>
          <w:p w:rsidR="000E508A" w:rsidRPr="0024568D" w:rsidRDefault="000E508A" w:rsidP="001E7960">
            <w:pPr>
              <w:tabs>
                <w:tab w:val="left" w:pos="375"/>
              </w:tabs>
              <w:ind w:left="34"/>
              <w:jc w:val="both"/>
            </w:pPr>
            <w:r w:rsidRPr="00F53548">
              <w:rPr>
                <w:lang w:val="uk-UA"/>
              </w:rPr>
              <w:t>Встановлення в тендерній документації вимог до предмету закупівлі з посиланням на конкретну торгівельну марку чи фірму, патент, конструкцію або тип предмета закупівлі, джерело його походження або виробника</w:t>
            </w:r>
          </w:p>
          <w:p w:rsidR="000E508A" w:rsidRPr="0024568D" w:rsidRDefault="000E508A" w:rsidP="001E7960">
            <w:pPr>
              <w:tabs>
                <w:tab w:val="left" w:pos="375"/>
              </w:tabs>
              <w:ind w:left="34"/>
              <w:jc w:val="both"/>
              <w:rPr>
                <w:rStyle w:val="211"/>
                <w:sz w:val="24"/>
                <w:szCs w:val="24"/>
                <w:lang w:eastAsia="uk-UA"/>
              </w:rPr>
            </w:pPr>
          </w:p>
        </w:tc>
        <w:tc>
          <w:tcPr>
            <w:tcW w:w="4712" w:type="dxa"/>
            <w:shd w:val="clear" w:color="auto" w:fill="auto"/>
          </w:tcPr>
          <w:p w:rsidR="000E508A" w:rsidRPr="00F53548" w:rsidRDefault="0024568D" w:rsidP="007D17C2">
            <w:pPr>
              <w:tabs>
                <w:tab w:val="left" w:pos="375"/>
              </w:tabs>
              <w:spacing w:line="238" w:lineRule="exact"/>
              <w:ind w:left="34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lastRenderedPageBreak/>
              <w:t xml:space="preserve">Відсутність належного, у т.ч. </w:t>
            </w:r>
            <w:r w:rsidR="007D17C2">
              <w:rPr>
                <w:lang w:val="uk-UA"/>
              </w:rPr>
              <w:t>внутрішнього</w:t>
            </w:r>
            <w:r w:rsidRPr="00F53548">
              <w:rPr>
                <w:lang w:val="uk-UA"/>
              </w:rPr>
              <w:t xml:space="preserve"> контролю за підготовкою необхідної документації.</w:t>
            </w:r>
            <w:r>
              <w:rPr>
                <w:lang w:val="uk-UA"/>
              </w:rPr>
              <w:t xml:space="preserve"> Недостатня </w:t>
            </w:r>
            <w:r>
              <w:rPr>
                <w:lang w:val="uk-UA"/>
              </w:rPr>
              <w:lastRenderedPageBreak/>
              <w:t>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tabs>
                <w:tab w:val="left" w:pos="428"/>
              </w:tabs>
              <w:spacing w:line="242" w:lineRule="exact"/>
              <w:ind w:left="35" w:right="126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lastRenderedPageBreak/>
              <w:t xml:space="preserve">Можливі фінансові втрати, притягнення осіб до </w:t>
            </w:r>
            <w:r w:rsidRPr="00F53548">
              <w:rPr>
                <w:lang w:val="uk-UA"/>
              </w:rPr>
              <w:lastRenderedPageBreak/>
              <w:t>адміністративної відповідальності, втрата репутації, судові процеси проти державного органу</w:t>
            </w:r>
          </w:p>
        </w:tc>
      </w:tr>
      <w:tr w:rsidR="000E508A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2A430E">
            <w:pPr>
              <w:spacing w:line="240" w:lineRule="atLeast"/>
              <w:jc w:val="center"/>
              <w:rPr>
                <w:lang w:val="uk-UA"/>
              </w:rPr>
            </w:pPr>
            <w:r w:rsidRPr="00F53548">
              <w:rPr>
                <w:b/>
                <w:lang w:val="uk-UA"/>
              </w:rPr>
              <w:lastRenderedPageBreak/>
              <w:t>Кадровий менеджмент</w:t>
            </w:r>
          </w:p>
        </w:tc>
      </w:tr>
      <w:tr w:rsidR="000E508A" w:rsidRPr="00F53548" w:rsidTr="00C441ED">
        <w:trPr>
          <w:trHeight w:val="1587"/>
        </w:trPr>
        <w:tc>
          <w:tcPr>
            <w:tcW w:w="675" w:type="dxa"/>
          </w:tcPr>
          <w:p w:rsidR="000E508A" w:rsidRPr="00F53548" w:rsidRDefault="000E508A" w:rsidP="00157F2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53548">
              <w:rPr>
                <w:b/>
                <w:sz w:val="24"/>
                <w:szCs w:val="24"/>
                <w:lang w:val="uk-UA"/>
              </w:rPr>
              <w:t>1</w:t>
            </w:r>
            <w:r w:rsidR="007D17C2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331F34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членів приймальної комісії НА ДПСУ щодо надання переваг кандидатам на навчання.</w:t>
            </w:r>
          </w:p>
        </w:tc>
        <w:tc>
          <w:tcPr>
            <w:tcW w:w="3544" w:type="dxa"/>
          </w:tcPr>
          <w:p w:rsidR="000E508A" w:rsidRPr="00F53548" w:rsidRDefault="000E508A" w:rsidP="00406C4B">
            <w:pPr>
              <w:spacing w:line="240" w:lineRule="atLeast"/>
              <w:jc w:val="both"/>
              <w:rPr>
                <w:shd w:val="clear" w:color="auto" w:fill="FFFFFF"/>
                <w:lang w:val="uk-UA" w:eastAsia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 xml:space="preserve">Можливість зловживання повноваженнями відповідними посадовими особами під час прийняття рішення приймальною комісією щодо зарахування чи не зарахування кандидатів на навчання </w:t>
            </w:r>
            <w:r w:rsidRPr="00F53548">
              <w:rPr>
                <w:lang w:val="uk-UA"/>
              </w:rPr>
              <w:t xml:space="preserve">до </w:t>
            </w:r>
            <w:r w:rsidRPr="00F53548">
              <w:rPr>
                <w:lang w:val="uk-UA"/>
              </w:rPr>
              <w:br/>
              <w:t>НА ДПСУ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131C90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Втручання в діяльність приймальної комісії </w:t>
            </w:r>
            <w:r w:rsidR="0024568D">
              <w:rPr>
                <w:lang w:val="uk-UA"/>
              </w:rPr>
              <w:t>НА ДПСУ</w:t>
            </w:r>
            <w:r w:rsidRPr="00F53548">
              <w:rPr>
                <w:lang w:val="uk-UA"/>
              </w:rPr>
              <w:t xml:space="preserve"> третіх осіб з метою впливу на прийняття нею рішень. Приватний інтерес у члена приймальної комісії може призвести до вжиття ним заходів щодо переконання інших членів приймати те чи інше рішення. </w:t>
            </w:r>
          </w:p>
          <w:p w:rsidR="000E508A" w:rsidRPr="00F53548" w:rsidRDefault="000E508A" w:rsidP="00740EBE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Не забезпечений доступ представників громадськості до засідань приймальної комісії. Не забезпечено своєчасне висвітлення інформації про оголошення засідань приймальної комісії.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Не очікується фінансових втрат,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1587"/>
        </w:trPr>
        <w:tc>
          <w:tcPr>
            <w:tcW w:w="675" w:type="dxa"/>
          </w:tcPr>
          <w:p w:rsidR="000E508A" w:rsidRPr="00F53548" w:rsidRDefault="000E508A" w:rsidP="00D2203B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53548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7D17C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24568D" w:rsidP="00C310A1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6273E8">
              <w:rPr>
                <w:sz w:val="24"/>
                <w:szCs w:val="24"/>
                <w:lang w:val="uk-UA"/>
              </w:rPr>
              <w:t>Можливий вплив зацікавлених осіб/кандидатів на зайняття посад на формування довідки про результати проведення спеціальної перевірки щодо осіб, які претендують на</w:t>
            </w:r>
            <w:r>
              <w:rPr>
                <w:sz w:val="24"/>
                <w:szCs w:val="24"/>
                <w:lang w:val="uk-UA"/>
              </w:rPr>
              <w:t xml:space="preserve"> зайняття посад,</w:t>
            </w:r>
            <w:r w:rsidRPr="00826335">
              <w:rPr>
                <w:color w:val="000000"/>
                <w:sz w:val="24"/>
                <w:szCs w:val="24"/>
                <w:lang w:val="uk-UA"/>
              </w:rPr>
              <w:t xml:space="preserve"> які передбачають зайняття відповідального або особливо відповідального становища, а також посад з підвищеним корупційним </w:t>
            </w:r>
            <w:r w:rsidRPr="006273E8">
              <w:rPr>
                <w:sz w:val="24"/>
                <w:szCs w:val="24"/>
                <w:lang w:val="uk-UA"/>
              </w:rPr>
              <w:t>в ДПСУ з порушенням встановлених критеріїв та вимог</w:t>
            </w:r>
          </w:p>
        </w:tc>
        <w:tc>
          <w:tcPr>
            <w:tcW w:w="3544" w:type="dxa"/>
          </w:tcPr>
          <w:p w:rsidR="000E508A" w:rsidRPr="00F53548" w:rsidRDefault="000E508A" w:rsidP="00740EBE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>Внаслідок порушень під час проведення перевірки документів та підготовки довідки про результати проведеної спеціальної перевірки особі, яка не відповідає встановленим законодавством вимогам, може бути надано право на зайняття посади.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740EBE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Недостатня обізнаність або </w:t>
            </w:r>
            <w:proofErr w:type="spellStart"/>
            <w:r w:rsidRPr="00F53548">
              <w:rPr>
                <w:lang w:val="uk-UA"/>
              </w:rPr>
              <w:t>недоброчесність</w:t>
            </w:r>
            <w:proofErr w:type="spellEnd"/>
            <w:r w:rsidRPr="00F53548">
              <w:rPr>
                <w:lang w:val="uk-UA"/>
              </w:rPr>
              <w:t xml:space="preserve"> особи, яка є відповідальною за проведення спеціальної перевірки щодо вимог антикорупційного законодавства.</w:t>
            </w:r>
          </w:p>
          <w:p w:rsidR="000E508A" w:rsidRPr="00F53548" w:rsidRDefault="007D17C2" w:rsidP="00740EBE">
            <w:pPr>
              <w:tabs>
                <w:tab w:val="left" w:pos="375"/>
              </w:tabs>
              <w:spacing w:line="238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належного, у т.ч. внутрішнього</w:t>
            </w:r>
            <w:r w:rsidR="000E508A" w:rsidRPr="00F53548">
              <w:rPr>
                <w:lang w:val="uk-UA"/>
              </w:rPr>
              <w:t xml:space="preserve"> контролю за підготовкою результатів перевірки.</w:t>
            </w:r>
          </w:p>
          <w:p w:rsidR="000E508A" w:rsidRPr="00F53548" w:rsidRDefault="000E508A" w:rsidP="00740EB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Не очікується фінансових втрат,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1587"/>
        </w:trPr>
        <w:tc>
          <w:tcPr>
            <w:tcW w:w="675" w:type="dxa"/>
          </w:tcPr>
          <w:p w:rsidR="000E508A" w:rsidRPr="00F53548" w:rsidRDefault="000E508A" w:rsidP="00157F2F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53548">
              <w:rPr>
                <w:b/>
                <w:sz w:val="24"/>
                <w:szCs w:val="24"/>
                <w:lang w:val="uk-UA"/>
              </w:rPr>
              <w:t>1</w:t>
            </w:r>
            <w:r w:rsidR="007D17C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9E513B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</w:t>
            </w:r>
            <w:r w:rsidR="009E513B" w:rsidRPr="00EA04F1">
              <w:rPr>
                <w:sz w:val="24"/>
                <w:szCs w:val="24"/>
                <w:lang w:val="uk-UA"/>
              </w:rPr>
              <w:t>особового складу</w:t>
            </w:r>
            <w:r w:rsidRPr="00F53548">
              <w:rPr>
                <w:sz w:val="24"/>
                <w:szCs w:val="24"/>
                <w:lang w:val="uk-UA"/>
              </w:rPr>
              <w:t xml:space="preserve"> кадрових підрозділів, що проявляється в уразливості до впливу сторонніх осіб на порядок та результати здійснення заходів з питань кадрового забезпечення </w:t>
            </w:r>
          </w:p>
        </w:tc>
        <w:tc>
          <w:tcPr>
            <w:tcW w:w="3544" w:type="dxa"/>
          </w:tcPr>
          <w:p w:rsidR="000E508A" w:rsidRPr="00F53548" w:rsidRDefault="000E508A" w:rsidP="00B728FC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lang w:val="uk-UA"/>
              </w:rPr>
              <w:t>Співробітник кадрового підрозділу здійснює підготовку відповідних документів щодо підбору, просування по службі особи, яка не відповідає встановленим вимогам або здійснює таку роботу з порушенням діючих нормативно-правових актів ДПСУ.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6D2038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F53548">
              <w:rPr>
                <w:lang w:val="uk-UA"/>
              </w:rPr>
              <w:t>Недоброчесність</w:t>
            </w:r>
            <w:proofErr w:type="spellEnd"/>
            <w:r w:rsidRPr="00F53548">
              <w:rPr>
                <w:lang w:val="uk-UA"/>
              </w:rPr>
              <w:t xml:space="preserve"> співробітника кадрового підрозділу. Приватний інтерес співробітника кадрового підрозділу. Недостатня обізнаність співробітника кадрового підрозділу щодо вимог нормативно-правових актів, що регламентують проходження військової служби в ДПСУ, а також вимог антикорупційного законодавства.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spacing w:val="-16"/>
                <w:lang w:val="uk-UA"/>
              </w:rPr>
            </w:pPr>
            <w:r w:rsidRPr="00F53548">
              <w:rPr>
                <w:lang w:val="uk-UA"/>
              </w:rPr>
              <w:t>Не очікується фінансових втрат, втрата репутації державного органу. Вчинення корупційного правопорушення</w:t>
            </w:r>
          </w:p>
        </w:tc>
      </w:tr>
      <w:tr w:rsidR="000E508A" w:rsidRPr="00F53548" w:rsidTr="00311672">
        <w:trPr>
          <w:trHeight w:val="454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9B4B44">
            <w:pPr>
              <w:spacing w:line="240" w:lineRule="atLeast"/>
              <w:jc w:val="center"/>
              <w:rPr>
                <w:b/>
                <w:lang w:val="uk-UA" w:eastAsia="uk-UA"/>
              </w:rPr>
            </w:pPr>
            <w:r w:rsidRPr="00F53548">
              <w:rPr>
                <w:b/>
                <w:lang w:val="uk-UA"/>
              </w:rPr>
              <w:t>Оперативно-службова діяльність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0E508A" w:rsidP="00D2203B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1</w:t>
            </w:r>
            <w:r w:rsidR="007D17C2">
              <w:rPr>
                <w:b/>
                <w:lang w:val="uk-UA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9E3E29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F53548">
              <w:rPr>
                <w:sz w:val="24"/>
                <w:szCs w:val="24"/>
                <w:lang w:val="uk-UA"/>
              </w:rPr>
              <w:t xml:space="preserve">Потенційна </w:t>
            </w: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недоброчесність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членів комісій під час проведення службових розслідувань</w:t>
            </w:r>
          </w:p>
        </w:tc>
        <w:tc>
          <w:tcPr>
            <w:tcW w:w="3544" w:type="dxa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 xml:space="preserve">Внаслідок виникнення конфлікту інтересів можливо необ’єктивне, упереджене ставлення з боку члену (членів) комісії до конкретної особи під </w:t>
            </w:r>
            <w:r w:rsidRPr="00F53548">
              <w:rPr>
                <w:rStyle w:val="211"/>
                <w:sz w:val="24"/>
                <w:szCs w:val="24"/>
                <w:lang w:val="uk-UA" w:eastAsia="uk-UA"/>
              </w:rPr>
              <w:lastRenderedPageBreak/>
              <w:t>час проведення службових розслідувань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lastRenderedPageBreak/>
              <w:t>Застарілість нормативно-правового акту, що регламентує порядок проведення службових розслідувань в ДПСУ.</w:t>
            </w:r>
          </w:p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Неповідомлення членом комісії про характер стосунків з особами стосовно </w:t>
            </w:r>
            <w:r w:rsidRPr="00F53548">
              <w:rPr>
                <w:lang w:val="uk-UA"/>
              </w:rPr>
              <w:lastRenderedPageBreak/>
              <w:t>яких проводиться службове розслідування, що може призвести до виникнення конфлікту інтересів.</w:t>
            </w:r>
          </w:p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Наявність у члену комісії конфлікту інтересів з посадовими особами органу (підрозділу) АДПСУ, РУ, ООДК в якому проводиться службове розслідування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lastRenderedPageBreak/>
              <w:t xml:space="preserve">Не очікується фінансових втрат, втрата репутації державного органу. Вчинення корупційного </w:t>
            </w:r>
            <w:r w:rsidRPr="00F53548">
              <w:rPr>
                <w:lang w:val="uk-UA"/>
              </w:rPr>
              <w:lastRenderedPageBreak/>
              <w:t>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0E508A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lastRenderedPageBreak/>
              <w:t>1</w:t>
            </w:r>
            <w:r w:rsidR="007D17C2">
              <w:rPr>
                <w:b/>
                <w:lang w:val="uk-UA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1370AD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військовослужбовців ДПСУ щодо здійснення легалізації іноземних громадян в Україні шляхом незаконного проставлення відміток ДПСУ в паспортних документах та фіктивного внесення інформації щодо осіб у відомчі бази даних</w:t>
            </w:r>
          </w:p>
        </w:tc>
        <w:tc>
          <w:tcPr>
            <w:tcW w:w="3544" w:type="dxa"/>
          </w:tcPr>
          <w:p w:rsidR="000E508A" w:rsidRPr="00F53548" w:rsidRDefault="000E508A" w:rsidP="001E7960">
            <w:pPr>
              <w:jc w:val="both"/>
              <w:rPr>
                <w:lang w:val="uk-UA"/>
              </w:rPr>
            </w:pPr>
            <w:r w:rsidRPr="00F53548">
              <w:rPr>
                <w:rStyle w:val="211"/>
                <w:spacing w:val="-12"/>
                <w:sz w:val="24"/>
                <w:szCs w:val="24"/>
                <w:lang w:val="uk-UA" w:eastAsia="uk-UA"/>
              </w:rPr>
              <w:t xml:space="preserve">Можливість зловживання посадовим становищем щодо </w:t>
            </w:r>
            <w:r w:rsidRPr="00F53548">
              <w:rPr>
                <w:spacing w:val="-12"/>
                <w:lang w:val="uk-UA" w:eastAsia="uk-UA"/>
              </w:rPr>
              <w:t>незаконного</w:t>
            </w:r>
            <w:r w:rsidRPr="00F53548">
              <w:rPr>
                <w:lang w:val="uk-UA"/>
              </w:rPr>
              <w:t xml:space="preserve"> проставлення відміток ДПСУ в паспортних документах та фіктивного внесення інформації щодо осіб у відомчі бази даних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1E7960">
            <w:pPr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 xml:space="preserve">Недостатній контроль за діяльністю інспекторів, які при здійсненні прикордонного контролю (контрольних заходах), проставляють відмітки </w:t>
            </w:r>
            <w:r w:rsidRPr="00F53548">
              <w:rPr>
                <w:lang w:val="uk-UA"/>
              </w:rPr>
              <w:t>ДПСУ в паспортних документах та мають можливість здійснювати фіктивне внесення інформації щодо осіб у відомчі бази даних</w:t>
            </w:r>
            <w:r w:rsidR="003B163B">
              <w:rPr>
                <w:lang w:val="uk-UA"/>
              </w:rPr>
              <w:t>. 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lang w:val="uk-UA" w:eastAsia="uk-UA"/>
              </w:rPr>
              <w:t>Пропуск осіб, яким встановлено обмеження,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0E508A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1</w:t>
            </w:r>
            <w:r w:rsidR="007D17C2">
              <w:rPr>
                <w:b/>
                <w:lang w:val="uk-UA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1370AD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військовослужбовців ДПСУ щодо здійснення пропуску через державний кордон громадян, стосовно яких є доручення уповноважених державних органів, яким заборонений в’їзд чи виїзд з території України</w:t>
            </w:r>
          </w:p>
        </w:tc>
        <w:tc>
          <w:tcPr>
            <w:tcW w:w="3544" w:type="dxa"/>
          </w:tcPr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Можливість зловживання посадовим становищем щодо п</w:t>
            </w:r>
            <w:r w:rsidRPr="00F53548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рийняття незаконного рішення на пропуск </w:t>
            </w:r>
            <w:r w:rsidRPr="00F53548">
              <w:rPr>
                <w:rFonts w:ascii="Times New Roman" w:hAnsi="Times New Roman"/>
                <w:sz w:val="24"/>
                <w:szCs w:val="24"/>
                <w:lang w:val="uk-UA"/>
              </w:rPr>
              <w:t>громадян, щодо яких доручення уповноважених державних органів, яким заборонений в’їзд чи виїзд з території України</w:t>
            </w:r>
            <w:r w:rsidRPr="00F53548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, </w:t>
            </w: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з метою отримання неправомірної вигоди</w:t>
            </w:r>
          </w:p>
        </w:tc>
        <w:tc>
          <w:tcPr>
            <w:tcW w:w="4712" w:type="dxa"/>
            <w:shd w:val="clear" w:color="auto" w:fill="auto"/>
          </w:tcPr>
          <w:p w:rsidR="000E508A" w:rsidRPr="003B163B" w:rsidRDefault="000E508A" w:rsidP="00B728F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B16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3B16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посадових осіб ДПСУ через прийняття незаконного рішення на пропуск </w:t>
            </w:r>
            <w:r w:rsidRPr="003B1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громадян, щодо яких </w:t>
            </w:r>
            <w:proofErr w:type="spellStart"/>
            <w:r w:rsidRPr="003B163B">
              <w:rPr>
                <w:rFonts w:ascii="Times New Roman" w:hAnsi="Times New Roman"/>
                <w:sz w:val="24"/>
                <w:szCs w:val="24"/>
                <w:lang w:val="uk-UA"/>
              </w:rPr>
              <w:t>єдоручення</w:t>
            </w:r>
            <w:proofErr w:type="spellEnd"/>
            <w:r w:rsidRPr="003B1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уповноважених державних органів, яким заборонений в’їзд чи виїзд з території України</w:t>
            </w:r>
            <w:r w:rsidR="003B163B" w:rsidRPr="003B163B">
              <w:rPr>
                <w:rFonts w:ascii="Times New Roman" w:hAnsi="Times New Roman"/>
                <w:sz w:val="24"/>
                <w:szCs w:val="24"/>
                <w:lang w:val="uk-UA"/>
              </w:rPr>
              <w:t>. 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lang w:val="uk-UA" w:eastAsia="uk-UA"/>
              </w:rPr>
              <w:t>Пропуск осіб, яким встановлено обмеження,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0E508A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1</w:t>
            </w:r>
            <w:r w:rsidR="007D17C2">
              <w:rPr>
                <w:b/>
                <w:lang w:val="uk-UA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1370AD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військовослужбовців ДПСУ щодо пропуску громадян через державний кордон за </w:t>
            </w:r>
            <w:r w:rsidRPr="00F53548">
              <w:rPr>
                <w:sz w:val="24"/>
                <w:szCs w:val="24"/>
                <w:lang w:val="uk-UA"/>
              </w:rPr>
              <w:lastRenderedPageBreak/>
              <w:t>підробленими, недійсними документами або документами, що не дають право на перетинання державного кордону</w:t>
            </w:r>
          </w:p>
        </w:tc>
        <w:tc>
          <w:tcPr>
            <w:tcW w:w="3544" w:type="dxa"/>
          </w:tcPr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lastRenderedPageBreak/>
              <w:t>Можливість зловживання посадовим становищем щодо п</w:t>
            </w:r>
            <w:r w:rsidRPr="00F53548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 xml:space="preserve">рийняття незаконного рішення </w:t>
            </w:r>
            <w:r w:rsidRPr="00F53548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lastRenderedPageBreak/>
              <w:t xml:space="preserve">на пропуск </w:t>
            </w:r>
            <w:r w:rsidRPr="00F53548">
              <w:rPr>
                <w:rFonts w:ascii="Times New Roman" w:hAnsi="Times New Roman"/>
                <w:sz w:val="24"/>
                <w:szCs w:val="24"/>
                <w:lang w:val="uk-UA"/>
              </w:rPr>
              <w:t>громадян за підробленими, недійсними документами або документами, що не дають право на перетинання державного кордону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35056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5354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Недоброчесність</w:t>
            </w:r>
            <w:proofErr w:type="spellEnd"/>
            <w:r w:rsidRPr="00F535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посадових осіб або наявність приватного інтересу у посадових осіб ДПСУ через прийняття незаконного </w:t>
            </w:r>
            <w:r w:rsidRPr="00F5354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рішення на пропуск, </w:t>
            </w:r>
            <w:r w:rsidRPr="00F53548">
              <w:rPr>
                <w:rFonts w:ascii="Times New Roman" w:hAnsi="Times New Roman"/>
                <w:sz w:val="24"/>
                <w:szCs w:val="24"/>
                <w:lang w:val="uk-UA"/>
              </w:rPr>
              <w:t>громадян за підробленими, недійсними документами або документами, що не дають право на перетинання державного кордону</w:t>
            </w:r>
            <w:r w:rsidR="003B1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3B163B" w:rsidRPr="003B163B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lang w:val="uk-UA" w:eastAsia="uk-UA"/>
              </w:rPr>
              <w:lastRenderedPageBreak/>
              <w:t xml:space="preserve">Пропуск осіб, яким встановлено обмеження, втрата репутації </w:t>
            </w:r>
            <w:r w:rsidRPr="00F53548">
              <w:rPr>
                <w:lang w:val="uk-UA" w:eastAsia="uk-UA"/>
              </w:rPr>
              <w:lastRenderedPageBreak/>
              <w:t>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3B163B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  <w:r w:rsidR="007D17C2">
              <w:rPr>
                <w:b/>
                <w:lang w:val="uk-UA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1370AD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військовослужбовців ДПСУ щодо невнесення або внесення недостовірних відомостей до відомчої бази даних про осіб і транспортні засоби, що перетинають державний кордон</w:t>
            </w:r>
          </w:p>
        </w:tc>
        <w:tc>
          <w:tcPr>
            <w:tcW w:w="3544" w:type="dxa"/>
          </w:tcPr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Style w:val="211"/>
                <w:spacing w:val="-8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Можливість зловживання посадовим становищем, наявність приватного інтересу посадової особи</w:t>
            </w:r>
          </w:p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35056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535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F535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посадових осіб або наявність приватного інтересу у посадових осіб ДПСУ через прийняття незаконного рішення щодо невнесення або внесення недостовірних відомостей до відомчої бази даних про осіб і транспортні засоби, що перетинають державний кордон</w:t>
            </w:r>
            <w:r w:rsidR="003B16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3B163B" w:rsidRPr="003B163B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lang w:val="uk-UA" w:eastAsia="uk-UA"/>
              </w:rPr>
              <w:t>Пропуск осіб, яким встановлено обмеження,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6749DC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D17C2">
              <w:rPr>
                <w:b/>
                <w:lang w:val="uk-UA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8722FF" w:rsidRPr="007D17C2" w:rsidRDefault="008722FF" w:rsidP="008722FF">
            <w:pPr>
              <w:pStyle w:val="20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7D17C2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7D17C2">
              <w:rPr>
                <w:sz w:val="24"/>
                <w:szCs w:val="24"/>
                <w:lang w:val="uk-UA"/>
              </w:rPr>
              <w:t xml:space="preserve"> поведінка посадових осіб ДПСУ щодо припинення правопорушень на кордоні, в пунктах пропуску  що призводить до переміщення контрабандних товарів та нелегальних мігрантів до країн ЄС</w:t>
            </w:r>
          </w:p>
          <w:p w:rsidR="000E508A" w:rsidRPr="00F53548" w:rsidRDefault="000E508A" w:rsidP="0035056C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E508A" w:rsidRPr="00F53548" w:rsidRDefault="000E508A" w:rsidP="001E7960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 xml:space="preserve">Можливість зловживання посадовим становищем щодо </w:t>
            </w:r>
            <w:r w:rsidRPr="00F53548">
              <w:rPr>
                <w:sz w:val="24"/>
                <w:szCs w:val="24"/>
                <w:lang w:val="uk-UA"/>
              </w:rPr>
              <w:t>невжиття заходів по припиненню правопорушень на кордоні, що призводить до переміщення контрабанди та нелегальних мігрантів</w:t>
            </w:r>
          </w:p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1E7960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F53548">
              <w:rPr>
                <w:sz w:val="24"/>
                <w:szCs w:val="24"/>
                <w:lang w:val="uk-UA" w:eastAsia="uk-UA"/>
              </w:rPr>
              <w:t xml:space="preserve"> посадових осіб або наявність приватного інтересу у посадових осіб ДПСУ через </w:t>
            </w:r>
            <w:r w:rsidRPr="00F53548">
              <w:rPr>
                <w:sz w:val="24"/>
                <w:szCs w:val="24"/>
                <w:lang w:val="uk-UA"/>
              </w:rPr>
              <w:t>невжиття заходів по припиненню правопорушень на кордоні, що призводить до переміщення контрабанди та нелегальних мігрантів</w:t>
            </w:r>
            <w:r w:rsidR="003B163B">
              <w:rPr>
                <w:sz w:val="24"/>
                <w:szCs w:val="24"/>
                <w:lang w:val="uk-UA"/>
              </w:rPr>
              <w:t xml:space="preserve">. </w:t>
            </w:r>
            <w:r w:rsidR="003B163B" w:rsidRPr="003B163B">
              <w:rPr>
                <w:sz w:val="24"/>
                <w:szCs w:val="24"/>
                <w:lang w:val="uk-UA"/>
              </w:rPr>
              <w:t>Недостатня обізнаність посадових осіб щодо вимог антикорупційного законодавства</w:t>
            </w:r>
          </w:p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spacing w:val="-8"/>
                <w:shd w:val="clear" w:color="auto" w:fill="FFFFFF"/>
                <w:lang w:val="uk-UA"/>
              </w:rPr>
              <w:t>Можливе переміщення контрабандних товарів</w:t>
            </w:r>
            <w:r w:rsidRPr="00F53548">
              <w:rPr>
                <w:lang w:val="uk-UA" w:eastAsia="uk-UA"/>
              </w:rPr>
              <w:t>, нелегальних мігрантів,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7D17C2" w:rsidP="00D2203B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19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CA15E7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посадових осіб ДПСУ щодо надання інформації про час і місце розміщення прикордонних нарядів, самовільна зміна маршрутів або свідоме залишення місць несення служби, що дозволяє переправляти нелегальних мігрантів і контрабандні товари</w:t>
            </w:r>
          </w:p>
        </w:tc>
        <w:tc>
          <w:tcPr>
            <w:tcW w:w="3544" w:type="dxa"/>
          </w:tcPr>
          <w:p w:rsidR="000E508A" w:rsidRPr="00F53548" w:rsidRDefault="000E508A" w:rsidP="00CA15E7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pacing w:val="-8"/>
                <w:sz w:val="24"/>
                <w:szCs w:val="24"/>
                <w:lang w:eastAsia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 xml:space="preserve">Можливість зловживання посадовим становищем щодо </w:t>
            </w:r>
            <w:r w:rsidRPr="00F53548">
              <w:rPr>
                <w:sz w:val="24"/>
                <w:szCs w:val="24"/>
                <w:lang w:val="uk-UA"/>
              </w:rPr>
              <w:t>невжиття заходів по припиненню правопорушень на кордоні, що призводить до переміщення контрабанди та нелегальних мігрантів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1E7960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F53548">
              <w:rPr>
                <w:sz w:val="24"/>
                <w:szCs w:val="24"/>
                <w:lang w:val="uk-UA" w:eastAsia="uk-UA"/>
              </w:rPr>
              <w:t xml:space="preserve"> посадових осіб або приватний інтерес посадової особи ДПСУ при прийнятті рішення щодо </w:t>
            </w:r>
            <w:r w:rsidRPr="00F53548">
              <w:rPr>
                <w:sz w:val="24"/>
                <w:szCs w:val="24"/>
                <w:lang w:val="uk-UA"/>
              </w:rPr>
              <w:t>невжиття заходів по припиненню правопорушень на кордоні, що призводить до переміщення контрабанди та нелегальних мігрантів</w:t>
            </w:r>
            <w:r w:rsidR="003B163B">
              <w:rPr>
                <w:sz w:val="24"/>
                <w:szCs w:val="24"/>
                <w:lang w:val="uk-UA"/>
              </w:rPr>
              <w:t xml:space="preserve">. </w:t>
            </w:r>
            <w:r w:rsidR="003B163B" w:rsidRPr="003B163B">
              <w:rPr>
                <w:sz w:val="24"/>
                <w:szCs w:val="24"/>
                <w:lang w:val="uk-UA"/>
              </w:rPr>
              <w:t>Недостатня обізнаність посадових осіб щодо вимог антикорупційного законодавства</w:t>
            </w:r>
          </w:p>
          <w:p w:rsidR="000E508A" w:rsidRPr="00F53548" w:rsidRDefault="000E508A" w:rsidP="001E796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spacing w:val="-8"/>
                <w:shd w:val="clear" w:color="auto" w:fill="FFFFFF"/>
                <w:lang w:val="uk-UA"/>
              </w:rPr>
              <w:t>Можливе переміщення контрабандних товарів</w:t>
            </w:r>
            <w:r w:rsidRPr="00F53548">
              <w:rPr>
                <w:lang w:val="uk-UA" w:eastAsia="uk-UA"/>
              </w:rPr>
              <w:t>, нелегальних мігрантів, втрата репутації державного органу. Вчинення корупційного правопорушення</w:t>
            </w:r>
          </w:p>
        </w:tc>
      </w:tr>
      <w:tr w:rsidR="000E508A" w:rsidRPr="00F53548" w:rsidTr="00C441ED">
        <w:trPr>
          <w:trHeight w:val="798"/>
        </w:trPr>
        <w:tc>
          <w:tcPr>
            <w:tcW w:w="675" w:type="dxa"/>
          </w:tcPr>
          <w:p w:rsidR="000E508A" w:rsidRPr="00F53548" w:rsidRDefault="000E508A" w:rsidP="00157F2F">
            <w:pPr>
              <w:tabs>
                <w:tab w:val="left" w:pos="142"/>
                <w:tab w:val="left" w:pos="375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2</w:t>
            </w:r>
            <w:r w:rsidR="007D17C2">
              <w:rPr>
                <w:b/>
                <w:lang w:val="uk-UA"/>
              </w:rPr>
              <w:t>0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35056C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/>
              </w:rPr>
            </w:pPr>
            <w:proofErr w:type="spellStart"/>
            <w:r w:rsidRPr="00F53548">
              <w:rPr>
                <w:sz w:val="24"/>
                <w:szCs w:val="24"/>
                <w:lang w:val="uk-UA"/>
              </w:rPr>
              <w:t>Недоброчесна</w:t>
            </w:r>
            <w:proofErr w:type="spellEnd"/>
            <w:r w:rsidRPr="00F53548">
              <w:rPr>
                <w:sz w:val="24"/>
                <w:szCs w:val="24"/>
                <w:lang w:val="uk-UA"/>
              </w:rPr>
              <w:t xml:space="preserve"> поведінка посадових осіб ДПСУ щодо розголошення третім особам даних з відомчих баз даних про перетин державного кордону людьми і транспортними засобами</w:t>
            </w:r>
          </w:p>
        </w:tc>
        <w:tc>
          <w:tcPr>
            <w:tcW w:w="3544" w:type="dxa"/>
          </w:tcPr>
          <w:p w:rsidR="000E508A" w:rsidRPr="00F53548" w:rsidRDefault="000E508A" w:rsidP="009973D8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Можливість зловживання посадовим становищем щодо</w:t>
            </w:r>
            <w:r w:rsidRPr="00F53548">
              <w:rPr>
                <w:sz w:val="24"/>
                <w:szCs w:val="24"/>
                <w:lang w:val="uk-UA"/>
              </w:rPr>
              <w:t xml:space="preserve"> розголошення третім особам даних з відомчих баз даних про перетин державного кордону людьми і транспортними засобами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з метою отримання неправомірної вигоди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331F34">
            <w:pPr>
              <w:pStyle w:val="20"/>
              <w:shd w:val="clear" w:color="auto" w:fill="auto"/>
              <w:spacing w:before="0" w:after="0" w:line="228" w:lineRule="auto"/>
              <w:ind w:right="-57" w:firstLine="0"/>
              <w:rPr>
                <w:sz w:val="24"/>
                <w:szCs w:val="24"/>
                <w:lang w:val="uk-UA" w:eastAsia="uk-UA"/>
              </w:rPr>
            </w:pPr>
            <w:proofErr w:type="spellStart"/>
            <w:r w:rsidRPr="00F53548">
              <w:rPr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  <w:r w:rsidRPr="00F53548">
              <w:rPr>
                <w:sz w:val="24"/>
                <w:szCs w:val="24"/>
                <w:lang w:val="uk-UA" w:eastAsia="uk-UA"/>
              </w:rPr>
              <w:t xml:space="preserve"> посадових осіб або приватний інтерес посадової особи ДПСУ при прийнятті рішення </w:t>
            </w:r>
            <w:r w:rsidRPr="00F53548">
              <w:rPr>
                <w:rStyle w:val="211"/>
                <w:spacing w:val="-8"/>
                <w:sz w:val="24"/>
                <w:szCs w:val="24"/>
                <w:lang w:val="uk-UA" w:eastAsia="uk-UA"/>
              </w:rPr>
              <w:t>щодо</w:t>
            </w:r>
            <w:r w:rsidRPr="00F53548">
              <w:rPr>
                <w:sz w:val="24"/>
                <w:szCs w:val="24"/>
                <w:lang w:val="uk-UA"/>
              </w:rPr>
              <w:t xml:space="preserve"> розголошення третім особам даних з відомчих баз даних про перетин державного кордону людьми і транспортними засобами.</w:t>
            </w:r>
            <w:r w:rsidR="003B163B" w:rsidRPr="003B163B">
              <w:rPr>
                <w:sz w:val="24"/>
                <w:szCs w:val="24"/>
                <w:lang w:val="uk-UA"/>
              </w:rPr>
              <w:t xml:space="preserve"> Недостатня обізнаність посадових осіб щодо вимог антикорупційного законодавства</w:t>
            </w: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1E7960">
            <w:pPr>
              <w:spacing w:line="240" w:lineRule="atLeast"/>
              <w:jc w:val="both"/>
              <w:rPr>
                <w:lang w:val="uk-UA" w:eastAsia="uk-UA"/>
              </w:rPr>
            </w:pPr>
            <w:r w:rsidRPr="00F53548">
              <w:rPr>
                <w:lang w:val="uk-UA" w:eastAsia="uk-UA"/>
              </w:rPr>
              <w:t>Втрата репутації державного органу. Вчинення корупційного правопорушення</w:t>
            </w:r>
          </w:p>
        </w:tc>
      </w:tr>
      <w:tr w:rsidR="000E508A" w:rsidRPr="00F53548" w:rsidTr="00304224">
        <w:trPr>
          <w:trHeight w:val="624"/>
        </w:trPr>
        <w:tc>
          <w:tcPr>
            <w:tcW w:w="15276" w:type="dxa"/>
            <w:gridSpan w:val="5"/>
            <w:vAlign w:val="center"/>
          </w:tcPr>
          <w:p w:rsidR="000E508A" w:rsidRPr="003B163B" w:rsidRDefault="000E508A" w:rsidP="004F5276">
            <w:pPr>
              <w:tabs>
                <w:tab w:val="left" w:pos="317"/>
              </w:tabs>
              <w:ind w:left="34"/>
              <w:jc w:val="center"/>
              <w:rPr>
                <w:b/>
                <w:lang w:val="uk-UA"/>
              </w:rPr>
            </w:pPr>
            <w:r w:rsidRPr="003B163B">
              <w:rPr>
                <w:b/>
                <w:lang w:val="uk-UA"/>
              </w:rPr>
              <w:t>Внутрішній аудит</w:t>
            </w:r>
          </w:p>
        </w:tc>
      </w:tr>
      <w:tr w:rsidR="000E508A" w:rsidRPr="00F53548" w:rsidTr="00304224">
        <w:trPr>
          <w:trHeight w:val="1417"/>
        </w:trPr>
        <w:tc>
          <w:tcPr>
            <w:tcW w:w="675" w:type="dxa"/>
          </w:tcPr>
          <w:p w:rsidR="000E508A" w:rsidRPr="00F53548" w:rsidRDefault="000E508A" w:rsidP="00B47637">
            <w:pPr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en-US"/>
              </w:rPr>
              <w:t>2</w:t>
            </w:r>
            <w:r w:rsidR="007D17C2">
              <w:rPr>
                <w:b/>
                <w:lang w:val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0E508A" w:rsidRPr="00F53548" w:rsidRDefault="000E508A" w:rsidP="00C310A1">
            <w:pPr>
              <w:jc w:val="both"/>
              <w:rPr>
                <w:lang w:val="uk-UA"/>
              </w:rPr>
            </w:pPr>
            <w:proofErr w:type="spellStart"/>
            <w:r w:rsidRPr="00F53548">
              <w:rPr>
                <w:lang w:val="uk-UA"/>
              </w:rPr>
              <w:t>Недоброчесна</w:t>
            </w:r>
            <w:proofErr w:type="spellEnd"/>
            <w:r w:rsidRPr="00F53548">
              <w:rPr>
                <w:lang w:val="uk-UA"/>
              </w:rPr>
              <w:t xml:space="preserve"> поведінка посадових осіб ДПСУ при проведенні аудиту</w:t>
            </w: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lang w:val="uk-UA"/>
              </w:rPr>
            </w:pPr>
          </w:p>
          <w:p w:rsidR="000E508A" w:rsidRPr="00F53548" w:rsidRDefault="000E508A" w:rsidP="00C310A1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0E508A" w:rsidRPr="00F53548" w:rsidRDefault="000E508A" w:rsidP="00DC3CAC">
            <w:pPr>
              <w:ind w:firstLine="175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lastRenderedPageBreak/>
              <w:t xml:space="preserve">Посадова особа, яка здійснює аудит (особисто або у складі аудиторської групи), може не повідомити (умисно або з інших причин) керівника підрозділу внутрішнього аудиту (аудиторської групи) про наявність у нього особистого (майнового або немайнового) інтересу по відношенню до </w:t>
            </w:r>
            <w:r w:rsidRPr="00F53548">
              <w:rPr>
                <w:shd w:val="clear" w:color="auto" w:fill="FFFFFF"/>
                <w:lang w:val="uk-UA"/>
              </w:rPr>
              <w:lastRenderedPageBreak/>
              <w:t>працівника та/або об’єкту, що підлягає аудиту (перевірці)</w:t>
            </w:r>
          </w:p>
        </w:tc>
        <w:tc>
          <w:tcPr>
            <w:tcW w:w="4712" w:type="dxa"/>
            <w:shd w:val="clear" w:color="auto" w:fill="auto"/>
          </w:tcPr>
          <w:p w:rsidR="000E508A" w:rsidRPr="00F53548" w:rsidRDefault="000E508A" w:rsidP="00C310A1">
            <w:pPr>
              <w:ind w:firstLine="175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lastRenderedPageBreak/>
              <w:t>Посадова особа, яка здійснює аудит (особисто або у складі аудиторської групи):</w:t>
            </w:r>
          </w:p>
          <w:p w:rsidR="000E508A" w:rsidRPr="00F53548" w:rsidRDefault="000E508A" w:rsidP="00C310A1">
            <w:pPr>
              <w:ind w:firstLine="175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>раніше була співробітником об’єкту аудиту, у т.ч. якщо об’єктом дослідження може стати службова діяльність цієї посадової особи за попереднім місцем роботи (служби);</w:t>
            </w:r>
          </w:p>
          <w:p w:rsidR="000E508A" w:rsidRPr="00F53548" w:rsidRDefault="000E508A" w:rsidP="00C310A1">
            <w:pPr>
              <w:ind w:firstLine="175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 xml:space="preserve">має рідних, друзів, знайомих і інших осіб, які є співробітниками об’єкту аудиту (або </w:t>
            </w:r>
            <w:r w:rsidRPr="00F53548">
              <w:rPr>
                <w:shd w:val="clear" w:color="auto" w:fill="FFFFFF"/>
                <w:lang w:val="uk-UA"/>
              </w:rPr>
              <w:lastRenderedPageBreak/>
              <w:t>установ (підприємств) пов’язаних з об’єктом аудиту) і стосунки з якими спричиняють виникнення  конфлікту інтересів</w:t>
            </w:r>
          </w:p>
          <w:p w:rsidR="000E508A" w:rsidRPr="00F53548" w:rsidRDefault="000E508A" w:rsidP="00DC3CAC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E508A" w:rsidRPr="00F53548" w:rsidRDefault="000E508A" w:rsidP="004F5276">
            <w:pPr>
              <w:ind w:left="33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lastRenderedPageBreak/>
              <w:t>Вчинення корупційного  правопорушення.</w:t>
            </w:r>
          </w:p>
          <w:p w:rsidR="000E508A" w:rsidRPr="00F53548" w:rsidRDefault="000E508A" w:rsidP="004F5276">
            <w:pPr>
              <w:ind w:left="33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 xml:space="preserve">Фінансові втрати.  </w:t>
            </w:r>
          </w:p>
          <w:p w:rsidR="000E508A" w:rsidRPr="00F53548" w:rsidRDefault="000E508A" w:rsidP="004F5276">
            <w:pPr>
              <w:ind w:left="33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>Втрата репутації підрозділом внутрішнього аудиту.</w:t>
            </w:r>
          </w:p>
          <w:p w:rsidR="000E508A" w:rsidRPr="00F53548" w:rsidRDefault="000E508A" w:rsidP="004F5276">
            <w:pPr>
              <w:ind w:left="33"/>
              <w:jc w:val="both"/>
              <w:rPr>
                <w:shd w:val="clear" w:color="auto" w:fill="FFFFFF"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t>Недостовірна або необ’єктивна інформація подана керівнику органу в аудиторському звіті.</w:t>
            </w:r>
          </w:p>
          <w:p w:rsidR="000E508A" w:rsidRPr="00F53548" w:rsidRDefault="000E508A" w:rsidP="004F5276">
            <w:pPr>
              <w:ind w:left="33"/>
              <w:jc w:val="both"/>
              <w:rPr>
                <w:b/>
                <w:lang w:val="uk-UA"/>
              </w:rPr>
            </w:pPr>
            <w:r w:rsidRPr="00F53548">
              <w:rPr>
                <w:shd w:val="clear" w:color="auto" w:fill="FFFFFF"/>
                <w:lang w:val="uk-UA"/>
              </w:rPr>
              <w:lastRenderedPageBreak/>
              <w:t>Нівелювання результатів якісно проведеного аудиту</w:t>
            </w:r>
          </w:p>
        </w:tc>
      </w:tr>
      <w:tr w:rsidR="000E508A" w:rsidRPr="00F53548" w:rsidTr="00304224">
        <w:trPr>
          <w:trHeight w:val="680"/>
        </w:trPr>
        <w:tc>
          <w:tcPr>
            <w:tcW w:w="15276" w:type="dxa"/>
            <w:gridSpan w:val="5"/>
            <w:vAlign w:val="center"/>
          </w:tcPr>
          <w:p w:rsidR="000E508A" w:rsidRPr="00F53548" w:rsidRDefault="000E508A" w:rsidP="00DC3CAC">
            <w:pPr>
              <w:spacing w:line="240" w:lineRule="atLeast"/>
              <w:jc w:val="center"/>
              <w:rPr>
                <w:lang w:val="uk-UA"/>
              </w:rPr>
            </w:pPr>
            <w:r w:rsidRPr="00F53548">
              <w:rPr>
                <w:b/>
                <w:lang w:val="uk-UA"/>
              </w:rPr>
              <w:lastRenderedPageBreak/>
              <w:t>Організація роботи із запобігання та виявлення корупції</w:t>
            </w:r>
          </w:p>
        </w:tc>
      </w:tr>
      <w:tr w:rsidR="000E508A" w:rsidRPr="00C570C6" w:rsidTr="002541C2">
        <w:trPr>
          <w:trHeight w:val="1191"/>
        </w:trPr>
        <w:tc>
          <w:tcPr>
            <w:tcW w:w="675" w:type="dxa"/>
          </w:tcPr>
          <w:p w:rsidR="000E508A" w:rsidRPr="00F53548" w:rsidRDefault="000E508A" w:rsidP="0077017F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2</w:t>
            </w:r>
            <w:r w:rsidR="007D17C2">
              <w:rPr>
                <w:b/>
                <w:lang w:val="uk-UA"/>
              </w:rPr>
              <w:t>2</w:t>
            </w:r>
          </w:p>
        </w:tc>
        <w:tc>
          <w:tcPr>
            <w:tcW w:w="3510" w:type="dxa"/>
          </w:tcPr>
          <w:p w:rsidR="000E508A" w:rsidRPr="00F53548" w:rsidRDefault="000E508A" w:rsidP="009E3E29">
            <w:pPr>
              <w:pStyle w:val="20"/>
              <w:shd w:val="clear" w:color="auto" w:fill="auto"/>
              <w:spacing w:before="0" w:after="0" w:line="228" w:lineRule="auto"/>
              <w:ind w:left="-57" w:right="-57" w:firstLine="0"/>
              <w:rPr>
                <w:sz w:val="24"/>
                <w:szCs w:val="24"/>
                <w:lang w:val="uk-UA"/>
              </w:rPr>
            </w:pPr>
            <w:r w:rsidRPr="00F53548">
              <w:rPr>
                <w:sz w:val="24"/>
                <w:szCs w:val="24"/>
                <w:lang w:val="uk-UA"/>
              </w:rPr>
              <w:t>Недостатня обізнаність персоналу ДПСУ, котрі є суб’єктами, на яких поширюється дія Закону України «Про запобігання корупції» щодо вимог антикорупційного законодавства, що може призвести до вчинення корупційного правопорушення або правопорушення, пов’язаного з корупцією</w:t>
            </w:r>
          </w:p>
        </w:tc>
        <w:tc>
          <w:tcPr>
            <w:tcW w:w="3544" w:type="dxa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rStyle w:val="211"/>
                <w:sz w:val="24"/>
                <w:szCs w:val="24"/>
                <w:lang w:val="uk-UA" w:eastAsia="uk-UA"/>
              </w:rPr>
            </w:pPr>
            <w:r w:rsidRPr="00F53548">
              <w:rPr>
                <w:rStyle w:val="211"/>
                <w:sz w:val="24"/>
                <w:szCs w:val="24"/>
                <w:lang w:val="uk-UA" w:eastAsia="uk-UA"/>
              </w:rPr>
              <w:t>Внаслідок недостатньої обізнаності щодо вимог антикорупційного законодавства можливо притягнення персоналу ДПСУ до кримінальної (ст. ККУ 364, 366-1, 368, 369, 369-2, 370 та ін.), адміністративної (172-4, 172-5, 172-6, 172-7, 172-8, 172-9) та дисциплінарної відповідальності.</w:t>
            </w:r>
          </w:p>
        </w:tc>
        <w:tc>
          <w:tcPr>
            <w:tcW w:w="4712" w:type="dxa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Недостатність проведення заходів з інформування персоналу ДПСУ щодо вимог та обмежень, передбачених антикорупційним законодавством України. Недостатнє охоплення навчанням особового складу ДПСУ щодо заборон та обмежень відповідно до вимог антикорупційного законодавства. </w:t>
            </w:r>
          </w:p>
        </w:tc>
        <w:tc>
          <w:tcPr>
            <w:tcW w:w="2835" w:type="dxa"/>
          </w:tcPr>
          <w:p w:rsidR="000E508A" w:rsidRPr="00F53548" w:rsidRDefault="000E508A" w:rsidP="009E3E29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spacing w:val="-16"/>
                <w:lang w:val="uk-UA"/>
              </w:rPr>
              <w:t>Отримання/надання власної або на користь третіх осіб неправомірної вигоди, втрата матеріальних ресурсів, нанесення збитків (матеріальної шкоди), настання кримінальної, дисциплінарної та/або цивільно-правової відповідальності, погіршення іміджу державного органу</w:t>
            </w:r>
          </w:p>
        </w:tc>
      </w:tr>
      <w:tr w:rsidR="000E508A" w:rsidRPr="00F53548" w:rsidTr="002541C2">
        <w:trPr>
          <w:trHeight w:val="1191"/>
        </w:trPr>
        <w:tc>
          <w:tcPr>
            <w:tcW w:w="675" w:type="dxa"/>
          </w:tcPr>
          <w:p w:rsidR="000E508A" w:rsidRPr="00F53548" w:rsidRDefault="000E508A" w:rsidP="0077017F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53548">
              <w:rPr>
                <w:b/>
                <w:lang w:val="uk-UA"/>
              </w:rPr>
              <w:t>2</w:t>
            </w:r>
            <w:r w:rsidR="007D17C2">
              <w:rPr>
                <w:b/>
                <w:lang w:val="uk-UA"/>
              </w:rPr>
              <w:t>3</w:t>
            </w:r>
          </w:p>
        </w:tc>
        <w:tc>
          <w:tcPr>
            <w:tcW w:w="3510" w:type="dxa"/>
          </w:tcPr>
          <w:p w:rsidR="000E508A" w:rsidRPr="00F53548" w:rsidRDefault="000E508A" w:rsidP="00136B95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 xml:space="preserve">Ймовірна неналежна організація роботи персоналом регіональних уповноважених підрозділів з питань виявлення та запобігання корупції в ДПСУ, що пов’язана з неналежним або формальним виконанням нормативно-розпорядчих документів, планів роботи з виявлення та </w:t>
            </w:r>
            <w:r w:rsidRPr="00F53548">
              <w:rPr>
                <w:lang w:val="uk-UA"/>
              </w:rPr>
              <w:lastRenderedPageBreak/>
              <w:t>запобігання корупції, заходів, передбачених Антикорупційною програмою ДПСУ на 2020-2022 роки тощо.</w:t>
            </w:r>
          </w:p>
        </w:tc>
        <w:tc>
          <w:tcPr>
            <w:tcW w:w="3544" w:type="dxa"/>
          </w:tcPr>
          <w:p w:rsidR="000E508A" w:rsidRPr="00F53548" w:rsidRDefault="000E508A" w:rsidP="00136B95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lastRenderedPageBreak/>
              <w:t>Необізнаність персоналом ДПСУ щодо вимог антикорупційного законодавства створює сприятливі умови для вчинення особовим складом корупційних правопорушень або правопорушень, пов’язаних з корупцією</w:t>
            </w:r>
          </w:p>
        </w:tc>
        <w:tc>
          <w:tcPr>
            <w:tcW w:w="4712" w:type="dxa"/>
          </w:tcPr>
          <w:p w:rsidR="000E508A" w:rsidRPr="00F53548" w:rsidRDefault="000E508A" w:rsidP="00CF61AF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Відсутність належного контролю за діяльністю персоналу регіонального уповноваженого підрозділу з питань виявлення та запобігання корупції. Приватний інтерес.</w:t>
            </w:r>
          </w:p>
        </w:tc>
        <w:tc>
          <w:tcPr>
            <w:tcW w:w="2835" w:type="dxa"/>
          </w:tcPr>
          <w:p w:rsidR="000E508A" w:rsidRPr="00F53548" w:rsidRDefault="000E508A" w:rsidP="00C310A1">
            <w:pPr>
              <w:spacing w:line="240" w:lineRule="atLeast"/>
              <w:jc w:val="both"/>
              <w:rPr>
                <w:lang w:val="uk-UA"/>
              </w:rPr>
            </w:pPr>
            <w:r w:rsidRPr="00F53548">
              <w:rPr>
                <w:lang w:val="uk-UA"/>
              </w:rPr>
              <w:t>Можливість вчинення корупційного або пов’язаного з корупцією правопорушення. Втрата репутації державного органу.</w:t>
            </w:r>
          </w:p>
        </w:tc>
      </w:tr>
    </w:tbl>
    <w:p w:rsidR="00E93126" w:rsidRDefault="00E93126" w:rsidP="00CA15E7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b/>
          <w:lang w:val="uk-UA"/>
        </w:rPr>
      </w:pP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 xml:space="preserve">Секретар комісії з </w:t>
      </w:r>
      <w:r w:rsidR="00C570C6">
        <w:rPr>
          <w:sz w:val="28"/>
          <w:szCs w:val="28"/>
          <w:lang w:val="uk-UA"/>
        </w:rPr>
        <w:t>оцінювання корупційних ризиків та</w:t>
      </w:r>
      <w:bookmarkStart w:id="0" w:name="_GoBack"/>
      <w:bookmarkEnd w:id="0"/>
      <w:r w:rsidRPr="005079EB">
        <w:rPr>
          <w:sz w:val="28"/>
          <w:szCs w:val="28"/>
          <w:lang w:val="uk-UA"/>
        </w:rPr>
        <w:t xml:space="preserve"> моніторингу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>виконання Антикорупційної програми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>Державної прикордонної служби України</w:t>
      </w:r>
    </w:p>
    <w:p w:rsidR="005079EB" w:rsidRPr="005079EB" w:rsidRDefault="005079EB" w:rsidP="005079EB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uk-UA"/>
        </w:rPr>
      </w:pP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</w:r>
      <w:r w:rsidRPr="005079EB">
        <w:rPr>
          <w:sz w:val="28"/>
          <w:szCs w:val="28"/>
          <w:lang w:val="uk-UA"/>
        </w:rPr>
        <w:tab/>
        <w:t>Олександр ЗАГОРОВСЬКИЙ</w:t>
      </w:r>
    </w:p>
    <w:sectPr w:rsidR="005079EB" w:rsidRPr="005079EB" w:rsidSect="00597256">
      <w:headerReference w:type="default" r:id="rId9"/>
      <w:pgSz w:w="16838" w:h="11906" w:orient="landscape" w:code="9"/>
      <w:pgMar w:top="851" w:right="851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9D" w:rsidRDefault="00904B9D" w:rsidP="007C1803">
      <w:r>
        <w:separator/>
      </w:r>
    </w:p>
  </w:endnote>
  <w:endnote w:type="continuationSeparator" w:id="0">
    <w:p w:rsidR="00904B9D" w:rsidRDefault="00904B9D" w:rsidP="007C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9D" w:rsidRDefault="00904B9D" w:rsidP="007C1803">
      <w:r>
        <w:separator/>
      </w:r>
    </w:p>
  </w:footnote>
  <w:footnote w:type="continuationSeparator" w:id="0">
    <w:p w:rsidR="00904B9D" w:rsidRDefault="00904B9D" w:rsidP="007C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70" w:rsidRDefault="00780190">
    <w:pPr>
      <w:pStyle w:val="a3"/>
      <w:jc w:val="center"/>
    </w:pPr>
    <w:r>
      <w:fldChar w:fldCharType="begin"/>
    </w:r>
    <w:r w:rsidR="00904B9D">
      <w:instrText>PAGE   \* MERGEFORMAT</w:instrText>
    </w:r>
    <w:r>
      <w:fldChar w:fldCharType="separate"/>
    </w:r>
    <w:r w:rsidR="00C570C6" w:rsidRPr="00C570C6">
      <w:rPr>
        <w:noProof/>
        <w:lang w:val="uk-UA"/>
      </w:rPr>
      <w:t>11</w:t>
    </w:r>
    <w:r>
      <w:rPr>
        <w:noProof/>
        <w:lang w:val="uk-UA"/>
      </w:rPr>
      <w:fldChar w:fldCharType="end"/>
    </w:r>
  </w:p>
  <w:p w:rsidR="001D5E70" w:rsidRDefault="001D5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497"/>
    <w:multiLevelType w:val="hybridMultilevel"/>
    <w:tmpl w:val="A01AAE6C"/>
    <w:lvl w:ilvl="0" w:tplc="479C8F1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D070D8"/>
    <w:multiLevelType w:val="hybridMultilevel"/>
    <w:tmpl w:val="5AEC7D46"/>
    <w:lvl w:ilvl="0" w:tplc="433CB3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4505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204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3237"/>
    <w:multiLevelType w:val="hybridMultilevel"/>
    <w:tmpl w:val="C7E41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19D"/>
    <w:multiLevelType w:val="hybridMultilevel"/>
    <w:tmpl w:val="BA6EA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5C4"/>
    <w:multiLevelType w:val="hybridMultilevel"/>
    <w:tmpl w:val="48C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475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23A8"/>
    <w:multiLevelType w:val="hybridMultilevel"/>
    <w:tmpl w:val="85B60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A7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09B4"/>
    <w:multiLevelType w:val="hybridMultilevel"/>
    <w:tmpl w:val="9938A46E"/>
    <w:lvl w:ilvl="0" w:tplc="869468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D20322"/>
    <w:multiLevelType w:val="hybridMultilevel"/>
    <w:tmpl w:val="3D400FF6"/>
    <w:lvl w:ilvl="0" w:tplc="BA06FB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8DB0119"/>
    <w:multiLevelType w:val="hybridMultilevel"/>
    <w:tmpl w:val="2DA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A2A19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D65A2"/>
    <w:multiLevelType w:val="hybridMultilevel"/>
    <w:tmpl w:val="DFD0E070"/>
    <w:lvl w:ilvl="0" w:tplc="40347E4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9B6281"/>
    <w:multiLevelType w:val="hybridMultilevel"/>
    <w:tmpl w:val="025CC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22A70"/>
    <w:multiLevelType w:val="hybridMultilevel"/>
    <w:tmpl w:val="A28EA072"/>
    <w:lvl w:ilvl="0" w:tplc="7F66F9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BA0F4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1566"/>
    <w:multiLevelType w:val="hybridMultilevel"/>
    <w:tmpl w:val="6B7E1ECA"/>
    <w:lvl w:ilvl="0" w:tplc="4D762A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B280996"/>
    <w:multiLevelType w:val="hybridMultilevel"/>
    <w:tmpl w:val="7758C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9"/>
  </w:num>
  <w:num w:numId="17">
    <w:abstractNumId w:val="7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A"/>
    <w:rsid w:val="00000F67"/>
    <w:rsid w:val="00001E00"/>
    <w:rsid w:val="0000230A"/>
    <w:rsid w:val="000038D3"/>
    <w:rsid w:val="00004D08"/>
    <w:rsid w:val="0000540B"/>
    <w:rsid w:val="00005BAF"/>
    <w:rsid w:val="0000654E"/>
    <w:rsid w:val="00006A6D"/>
    <w:rsid w:val="00021A4A"/>
    <w:rsid w:val="0002403D"/>
    <w:rsid w:val="000253F9"/>
    <w:rsid w:val="00030A41"/>
    <w:rsid w:val="000316C1"/>
    <w:rsid w:val="00036318"/>
    <w:rsid w:val="00043569"/>
    <w:rsid w:val="000439BA"/>
    <w:rsid w:val="00046407"/>
    <w:rsid w:val="000466C0"/>
    <w:rsid w:val="00051794"/>
    <w:rsid w:val="000560FF"/>
    <w:rsid w:val="0005707F"/>
    <w:rsid w:val="0006088B"/>
    <w:rsid w:val="00061EC3"/>
    <w:rsid w:val="00062816"/>
    <w:rsid w:val="00063164"/>
    <w:rsid w:val="000649E1"/>
    <w:rsid w:val="000650D1"/>
    <w:rsid w:val="00067F97"/>
    <w:rsid w:val="000707DA"/>
    <w:rsid w:val="00077965"/>
    <w:rsid w:val="000836FA"/>
    <w:rsid w:val="00083AD9"/>
    <w:rsid w:val="00090D34"/>
    <w:rsid w:val="00090DDE"/>
    <w:rsid w:val="00091B3C"/>
    <w:rsid w:val="0009530E"/>
    <w:rsid w:val="000A1AC6"/>
    <w:rsid w:val="000A45F2"/>
    <w:rsid w:val="000A50CD"/>
    <w:rsid w:val="000A6D1F"/>
    <w:rsid w:val="000B52E3"/>
    <w:rsid w:val="000B6164"/>
    <w:rsid w:val="000C3A82"/>
    <w:rsid w:val="000C5F42"/>
    <w:rsid w:val="000D100A"/>
    <w:rsid w:val="000E1368"/>
    <w:rsid w:val="000E508A"/>
    <w:rsid w:val="000E575F"/>
    <w:rsid w:val="000E6C03"/>
    <w:rsid w:val="000F10F4"/>
    <w:rsid w:val="000F23E1"/>
    <w:rsid w:val="000F77EC"/>
    <w:rsid w:val="00100B91"/>
    <w:rsid w:val="00104E2F"/>
    <w:rsid w:val="0010663E"/>
    <w:rsid w:val="00110846"/>
    <w:rsid w:val="00114EAF"/>
    <w:rsid w:val="00117B88"/>
    <w:rsid w:val="00124F47"/>
    <w:rsid w:val="00131C90"/>
    <w:rsid w:val="00132F70"/>
    <w:rsid w:val="0013660E"/>
    <w:rsid w:val="00136B95"/>
    <w:rsid w:val="00136DE3"/>
    <w:rsid w:val="001370AD"/>
    <w:rsid w:val="00137625"/>
    <w:rsid w:val="00137E20"/>
    <w:rsid w:val="00143F95"/>
    <w:rsid w:val="00146DAC"/>
    <w:rsid w:val="00146FDF"/>
    <w:rsid w:val="00152246"/>
    <w:rsid w:val="00157F2F"/>
    <w:rsid w:val="00161B81"/>
    <w:rsid w:val="00162897"/>
    <w:rsid w:val="00171518"/>
    <w:rsid w:val="0017488D"/>
    <w:rsid w:val="0017632B"/>
    <w:rsid w:val="00176FEE"/>
    <w:rsid w:val="00177D90"/>
    <w:rsid w:val="001802DB"/>
    <w:rsid w:val="00180B3E"/>
    <w:rsid w:val="00180E15"/>
    <w:rsid w:val="001841B1"/>
    <w:rsid w:val="0018508C"/>
    <w:rsid w:val="001938B0"/>
    <w:rsid w:val="001A1BAB"/>
    <w:rsid w:val="001A307C"/>
    <w:rsid w:val="001A6C39"/>
    <w:rsid w:val="001A7014"/>
    <w:rsid w:val="001B6C19"/>
    <w:rsid w:val="001B6F46"/>
    <w:rsid w:val="001C3116"/>
    <w:rsid w:val="001C6A62"/>
    <w:rsid w:val="001D4216"/>
    <w:rsid w:val="001D5DAD"/>
    <w:rsid w:val="001D5E70"/>
    <w:rsid w:val="001D62AC"/>
    <w:rsid w:val="001E02A8"/>
    <w:rsid w:val="001E0D79"/>
    <w:rsid w:val="001E0ECE"/>
    <w:rsid w:val="001E1946"/>
    <w:rsid w:val="001E3047"/>
    <w:rsid w:val="001E30AF"/>
    <w:rsid w:val="001E3E50"/>
    <w:rsid w:val="001E5F3B"/>
    <w:rsid w:val="002029F5"/>
    <w:rsid w:val="00211076"/>
    <w:rsid w:val="00211D72"/>
    <w:rsid w:val="00213D9F"/>
    <w:rsid w:val="00217109"/>
    <w:rsid w:val="002201EA"/>
    <w:rsid w:val="0022370B"/>
    <w:rsid w:val="002244A5"/>
    <w:rsid w:val="00237EBD"/>
    <w:rsid w:val="00240BFB"/>
    <w:rsid w:val="00241AC5"/>
    <w:rsid w:val="00243997"/>
    <w:rsid w:val="0024568D"/>
    <w:rsid w:val="002513CA"/>
    <w:rsid w:val="002541C2"/>
    <w:rsid w:val="00260F22"/>
    <w:rsid w:val="00262433"/>
    <w:rsid w:val="002637D0"/>
    <w:rsid w:val="002650BB"/>
    <w:rsid w:val="00265863"/>
    <w:rsid w:val="00265DAE"/>
    <w:rsid w:val="002662F7"/>
    <w:rsid w:val="0026679B"/>
    <w:rsid w:val="00270CC2"/>
    <w:rsid w:val="00275B0C"/>
    <w:rsid w:val="002807EF"/>
    <w:rsid w:val="002840B4"/>
    <w:rsid w:val="00284F23"/>
    <w:rsid w:val="002872E8"/>
    <w:rsid w:val="002873D7"/>
    <w:rsid w:val="00293985"/>
    <w:rsid w:val="00297885"/>
    <w:rsid w:val="002A1721"/>
    <w:rsid w:val="002A20D5"/>
    <w:rsid w:val="002A430E"/>
    <w:rsid w:val="002A7385"/>
    <w:rsid w:val="002A7E5A"/>
    <w:rsid w:val="002B0AE6"/>
    <w:rsid w:val="002B28CF"/>
    <w:rsid w:val="002B3B5C"/>
    <w:rsid w:val="002B4D6E"/>
    <w:rsid w:val="002B5D51"/>
    <w:rsid w:val="002C0935"/>
    <w:rsid w:val="002C1792"/>
    <w:rsid w:val="002C52A9"/>
    <w:rsid w:val="002D49AA"/>
    <w:rsid w:val="002D789D"/>
    <w:rsid w:val="002E09E1"/>
    <w:rsid w:val="002E1159"/>
    <w:rsid w:val="002E1A2C"/>
    <w:rsid w:val="002E377B"/>
    <w:rsid w:val="002F07C8"/>
    <w:rsid w:val="002F2771"/>
    <w:rsid w:val="002F5EA8"/>
    <w:rsid w:val="002F638A"/>
    <w:rsid w:val="00304224"/>
    <w:rsid w:val="00304B6D"/>
    <w:rsid w:val="00306BB0"/>
    <w:rsid w:val="0030743B"/>
    <w:rsid w:val="00310F1B"/>
    <w:rsid w:val="00311672"/>
    <w:rsid w:val="003127D3"/>
    <w:rsid w:val="003140CD"/>
    <w:rsid w:val="003175B5"/>
    <w:rsid w:val="00320224"/>
    <w:rsid w:val="0032168A"/>
    <w:rsid w:val="00324899"/>
    <w:rsid w:val="003273FB"/>
    <w:rsid w:val="00331F34"/>
    <w:rsid w:val="0033336E"/>
    <w:rsid w:val="0035056C"/>
    <w:rsid w:val="003507AC"/>
    <w:rsid w:val="00352361"/>
    <w:rsid w:val="00356B1F"/>
    <w:rsid w:val="003625F2"/>
    <w:rsid w:val="00362960"/>
    <w:rsid w:val="00363496"/>
    <w:rsid w:val="0036769D"/>
    <w:rsid w:val="00367C30"/>
    <w:rsid w:val="003712CD"/>
    <w:rsid w:val="003735BD"/>
    <w:rsid w:val="00374B29"/>
    <w:rsid w:val="00374F9D"/>
    <w:rsid w:val="00375DB4"/>
    <w:rsid w:val="00376470"/>
    <w:rsid w:val="00376FD7"/>
    <w:rsid w:val="00387BB2"/>
    <w:rsid w:val="00387D76"/>
    <w:rsid w:val="00394A34"/>
    <w:rsid w:val="00395AAE"/>
    <w:rsid w:val="0039744A"/>
    <w:rsid w:val="003A000E"/>
    <w:rsid w:val="003A0D62"/>
    <w:rsid w:val="003A3E49"/>
    <w:rsid w:val="003A5110"/>
    <w:rsid w:val="003B0DFE"/>
    <w:rsid w:val="003B163B"/>
    <w:rsid w:val="003B5A9D"/>
    <w:rsid w:val="003B6E4F"/>
    <w:rsid w:val="003C0F6B"/>
    <w:rsid w:val="003D0394"/>
    <w:rsid w:val="003D3BFA"/>
    <w:rsid w:val="003E0BDB"/>
    <w:rsid w:val="003E44DD"/>
    <w:rsid w:val="003E5962"/>
    <w:rsid w:val="003E6114"/>
    <w:rsid w:val="003E62ED"/>
    <w:rsid w:val="003E71E7"/>
    <w:rsid w:val="003F038E"/>
    <w:rsid w:val="003F23B5"/>
    <w:rsid w:val="003F4135"/>
    <w:rsid w:val="003F7083"/>
    <w:rsid w:val="004012C9"/>
    <w:rsid w:val="004017A5"/>
    <w:rsid w:val="00405E93"/>
    <w:rsid w:val="00406C4B"/>
    <w:rsid w:val="00415DE6"/>
    <w:rsid w:val="00416824"/>
    <w:rsid w:val="00421E55"/>
    <w:rsid w:val="00422783"/>
    <w:rsid w:val="0042639A"/>
    <w:rsid w:val="00431FCC"/>
    <w:rsid w:val="0043678E"/>
    <w:rsid w:val="00444FE3"/>
    <w:rsid w:val="00445262"/>
    <w:rsid w:val="00446B82"/>
    <w:rsid w:val="00452AA8"/>
    <w:rsid w:val="00455115"/>
    <w:rsid w:val="0045708B"/>
    <w:rsid w:val="004575C1"/>
    <w:rsid w:val="0046684C"/>
    <w:rsid w:val="00467615"/>
    <w:rsid w:val="00467CEC"/>
    <w:rsid w:val="00471AE2"/>
    <w:rsid w:val="00473D5E"/>
    <w:rsid w:val="0047580B"/>
    <w:rsid w:val="00476EBC"/>
    <w:rsid w:val="0048094F"/>
    <w:rsid w:val="004827B4"/>
    <w:rsid w:val="004838CD"/>
    <w:rsid w:val="004854AA"/>
    <w:rsid w:val="00490ABC"/>
    <w:rsid w:val="00491203"/>
    <w:rsid w:val="00492C45"/>
    <w:rsid w:val="00496C9E"/>
    <w:rsid w:val="00497091"/>
    <w:rsid w:val="004A0DB1"/>
    <w:rsid w:val="004A2A07"/>
    <w:rsid w:val="004A3E5F"/>
    <w:rsid w:val="004A4B05"/>
    <w:rsid w:val="004A5B1C"/>
    <w:rsid w:val="004A7CCF"/>
    <w:rsid w:val="004B33D6"/>
    <w:rsid w:val="004B7D08"/>
    <w:rsid w:val="004C2437"/>
    <w:rsid w:val="004C4904"/>
    <w:rsid w:val="004C4F3D"/>
    <w:rsid w:val="004C764B"/>
    <w:rsid w:val="004D03C1"/>
    <w:rsid w:val="004D1064"/>
    <w:rsid w:val="004D3E67"/>
    <w:rsid w:val="004D4A06"/>
    <w:rsid w:val="004D54DE"/>
    <w:rsid w:val="004D55CE"/>
    <w:rsid w:val="004D5AF3"/>
    <w:rsid w:val="004D7E45"/>
    <w:rsid w:val="004E1F29"/>
    <w:rsid w:val="004E23C9"/>
    <w:rsid w:val="004E28D0"/>
    <w:rsid w:val="004E3179"/>
    <w:rsid w:val="004E36C2"/>
    <w:rsid w:val="004E47C6"/>
    <w:rsid w:val="004F0A96"/>
    <w:rsid w:val="004F429D"/>
    <w:rsid w:val="004F4879"/>
    <w:rsid w:val="004F5276"/>
    <w:rsid w:val="004F5466"/>
    <w:rsid w:val="004F685C"/>
    <w:rsid w:val="005079EB"/>
    <w:rsid w:val="00510CD0"/>
    <w:rsid w:val="00514DF9"/>
    <w:rsid w:val="00517E8C"/>
    <w:rsid w:val="0052115A"/>
    <w:rsid w:val="005223DF"/>
    <w:rsid w:val="00523DBB"/>
    <w:rsid w:val="00524D78"/>
    <w:rsid w:val="00527F27"/>
    <w:rsid w:val="00531CA4"/>
    <w:rsid w:val="00532312"/>
    <w:rsid w:val="0053519D"/>
    <w:rsid w:val="00552BCC"/>
    <w:rsid w:val="0055425B"/>
    <w:rsid w:val="00555A64"/>
    <w:rsid w:val="00555BCE"/>
    <w:rsid w:val="00564616"/>
    <w:rsid w:val="00565B4A"/>
    <w:rsid w:val="00566DF5"/>
    <w:rsid w:val="0057199C"/>
    <w:rsid w:val="00572B6A"/>
    <w:rsid w:val="005740EB"/>
    <w:rsid w:val="005837C9"/>
    <w:rsid w:val="00583DDA"/>
    <w:rsid w:val="00584B0B"/>
    <w:rsid w:val="00586EDF"/>
    <w:rsid w:val="005900AB"/>
    <w:rsid w:val="00591DE7"/>
    <w:rsid w:val="0059282F"/>
    <w:rsid w:val="00597256"/>
    <w:rsid w:val="00597B39"/>
    <w:rsid w:val="005A0003"/>
    <w:rsid w:val="005A00BA"/>
    <w:rsid w:val="005B1AD5"/>
    <w:rsid w:val="005B1B3F"/>
    <w:rsid w:val="005B1DE1"/>
    <w:rsid w:val="005B2EB2"/>
    <w:rsid w:val="005B7E04"/>
    <w:rsid w:val="005C006B"/>
    <w:rsid w:val="005C0570"/>
    <w:rsid w:val="005C15C6"/>
    <w:rsid w:val="005C323C"/>
    <w:rsid w:val="005C61BE"/>
    <w:rsid w:val="005E0515"/>
    <w:rsid w:val="005E5BC5"/>
    <w:rsid w:val="005F056B"/>
    <w:rsid w:val="005F36E3"/>
    <w:rsid w:val="00603983"/>
    <w:rsid w:val="00606251"/>
    <w:rsid w:val="00606795"/>
    <w:rsid w:val="006138C2"/>
    <w:rsid w:val="00616403"/>
    <w:rsid w:val="006201A6"/>
    <w:rsid w:val="0062195D"/>
    <w:rsid w:val="00624D86"/>
    <w:rsid w:val="00624E80"/>
    <w:rsid w:val="00625EE9"/>
    <w:rsid w:val="00630F14"/>
    <w:rsid w:val="00631357"/>
    <w:rsid w:val="0063534D"/>
    <w:rsid w:val="00641EB8"/>
    <w:rsid w:val="00642325"/>
    <w:rsid w:val="0064329F"/>
    <w:rsid w:val="006459AA"/>
    <w:rsid w:val="00646561"/>
    <w:rsid w:val="00651C8C"/>
    <w:rsid w:val="0065310E"/>
    <w:rsid w:val="006539B0"/>
    <w:rsid w:val="00653CAD"/>
    <w:rsid w:val="006559CC"/>
    <w:rsid w:val="00662109"/>
    <w:rsid w:val="00663A78"/>
    <w:rsid w:val="006749DC"/>
    <w:rsid w:val="006812E3"/>
    <w:rsid w:val="0068775C"/>
    <w:rsid w:val="00693359"/>
    <w:rsid w:val="00697DC7"/>
    <w:rsid w:val="006A01C6"/>
    <w:rsid w:val="006A0209"/>
    <w:rsid w:val="006A0897"/>
    <w:rsid w:val="006A0C24"/>
    <w:rsid w:val="006A10AC"/>
    <w:rsid w:val="006A217E"/>
    <w:rsid w:val="006A2A78"/>
    <w:rsid w:val="006A3638"/>
    <w:rsid w:val="006B02AC"/>
    <w:rsid w:val="006B28E5"/>
    <w:rsid w:val="006B3C27"/>
    <w:rsid w:val="006B5618"/>
    <w:rsid w:val="006B571F"/>
    <w:rsid w:val="006C112F"/>
    <w:rsid w:val="006C1A14"/>
    <w:rsid w:val="006C4DFB"/>
    <w:rsid w:val="006C5E97"/>
    <w:rsid w:val="006C677A"/>
    <w:rsid w:val="006D2038"/>
    <w:rsid w:val="006D4B78"/>
    <w:rsid w:val="006D7A2E"/>
    <w:rsid w:val="006E34A2"/>
    <w:rsid w:val="006E6B48"/>
    <w:rsid w:val="006F07E7"/>
    <w:rsid w:val="006F4DFA"/>
    <w:rsid w:val="006F6D12"/>
    <w:rsid w:val="00704431"/>
    <w:rsid w:val="00705642"/>
    <w:rsid w:val="00714EA8"/>
    <w:rsid w:val="00715A7B"/>
    <w:rsid w:val="00720422"/>
    <w:rsid w:val="00725382"/>
    <w:rsid w:val="0073324D"/>
    <w:rsid w:val="00733BFA"/>
    <w:rsid w:val="0073566E"/>
    <w:rsid w:val="007367F3"/>
    <w:rsid w:val="00740EBE"/>
    <w:rsid w:val="00742B49"/>
    <w:rsid w:val="00746699"/>
    <w:rsid w:val="00752ECF"/>
    <w:rsid w:val="00755DE1"/>
    <w:rsid w:val="0075651F"/>
    <w:rsid w:val="007649EF"/>
    <w:rsid w:val="0077017F"/>
    <w:rsid w:val="00771622"/>
    <w:rsid w:val="007717BD"/>
    <w:rsid w:val="00773559"/>
    <w:rsid w:val="00775767"/>
    <w:rsid w:val="00776C90"/>
    <w:rsid w:val="00780190"/>
    <w:rsid w:val="007812AC"/>
    <w:rsid w:val="00787FBC"/>
    <w:rsid w:val="00790BC6"/>
    <w:rsid w:val="007917F0"/>
    <w:rsid w:val="00791F22"/>
    <w:rsid w:val="00792917"/>
    <w:rsid w:val="00793CD6"/>
    <w:rsid w:val="007A6B91"/>
    <w:rsid w:val="007B446D"/>
    <w:rsid w:val="007B5A91"/>
    <w:rsid w:val="007B5E6E"/>
    <w:rsid w:val="007B7971"/>
    <w:rsid w:val="007C1803"/>
    <w:rsid w:val="007C45B1"/>
    <w:rsid w:val="007C4ADA"/>
    <w:rsid w:val="007D02CD"/>
    <w:rsid w:val="007D02D5"/>
    <w:rsid w:val="007D084C"/>
    <w:rsid w:val="007D17C2"/>
    <w:rsid w:val="007D32DB"/>
    <w:rsid w:val="007E1C54"/>
    <w:rsid w:val="007E3889"/>
    <w:rsid w:val="007E6200"/>
    <w:rsid w:val="007F34BD"/>
    <w:rsid w:val="007F4493"/>
    <w:rsid w:val="00800C76"/>
    <w:rsid w:val="008013AD"/>
    <w:rsid w:val="00803EA5"/>
    <w:rsid w:val="00806DC7"/>
    <w:rsid w:val="00807CF6"/>
    <w:rsid w:val="00810974"/>
    <w:rsid w:val="00810D1D"/>
    <w:rsid w:val="008202EC"/>
    <w:rsid w:val="00820612"/>
    <w:rsid w:val="00821C4D"/>
    <w:rsid w:val="00823C28"/>
    <w:rsid w:val="00826487"/>
    <w:rsid w:val="00831132"/>
    <w:rsid w:val="00836372"/>
    <w:rsid w:val="00836D0C"/>
    <w:rsid w:val="0084194F"/>
    <w:rsid w:val="00843C11"/>
    <w:rsid w:val="00843C2B"/>
    <w:rsid w:val="00844F72"/>
    <w:rsid w:val="008471FA"/>
    <w:rsid w:val="00850C36"/>
    <w:rsid w:val="008632BA"/>
    <w:rsid w:val="00870949"/>
    <w:rsid w:val="008710CE"/>
    <w:rsid w:val="008722BD"/>
    <w:rsid w:val="008722FF"/>
    <w:rsid w:val="0088566E"/>
    <w:rsid w:val="00887FE9"/>
    <w:rsid w:val="00892569"/>
    <w:rsid w:val="00897581"/>
    <w:rsid w:val="008A2B40"/>
    <w:rsid w:val="008A4146"/>
    <w:rsid w:val="008A777D"/>
    <w:rsid w:val="008B1BF4"/>
    <w:rsid w:val="008B46CB"/>
    <w:rsid w:val="008C0A0C"/>
    <w:rsid w:val="008C139C"/>
    <w:rsid w:val="008C1EBE"/>
    <w:rsid w:val="008C2CA0"/>
    <w:rsid w:val="008C5080"/>
    <w:rsid w:val="008C5769"/>
    <w:rsid w:val="008C59C9"/>
    <w:rsid w:val="008D027A"/>
    <w:rsid w:val="008D0B2F"/>
    <w:rsid w:val="008D3B6D"/>
    <w:rsid w:val="008D45B1"/>
    <w:rsid w:val="008D6D2E"/>
    <w:rsid w:val="008D71AF"/>
    <w:rsid w:val="008E114E"/>
    <w:rsid w:val="008E20DA"/>
    <w:rsid w:val="008F298B"/>
    <w:rsid w:val="008F2BFD"/>
    <w:rsid w:val="008F42BF"/>
    <w:rsid w:val="00902E81"/>
    <w:rsid w:val="009030A9"/>
    <w:rsid w:val="00904052"/>
    <w:rsid w:val="00904B9D"/>
    <w:rsid w:val="00907BCA"/>
    <w:rsid w:val="00910D34"/>
    <w:rsid w:val="0091419B"/>
    <w:rsid w:val="0092182A"/>
    <w:rsid w:val="00934151"/>
    <w:rsid w:val="009345EA"/>
    <w:rsid w:val="009350D7"/>
    <w:rsid w:val="0093628A"/>
    <w:rsid w:val="00940EAB"/>
    <w:rsid w:val="00941674"/>
    <w:rsid w:val="00947120"/>
    <w:rsid w:val="009508F5"/>
    <w:rsid w:val="009548A3"/>
    <w:rsid w:val="00955B94"/>
    <w:rsid w:val="00966D6F"/>
    <w:rsid w:val="0096707E"/>
    <w:rsid w:val="00971A17"/>
    <w:rsid w:val="0097283F"/>
    <w:rsid w:val="00973AF6"/>
    <w:rsid w:val="00974635"/>
    <w:rsid w:val="00976A35"/>
    <w:rsid w:val="009860E8"/>
    <w:rsid w:val="0098695D"/>
    <w:rsid w:val="009902DC"/>
    <w:rsid w:val="0099163C"/>
    <w:rsid w:val="00991F8C"/>
    <w:rsid w:val="00993A7E"/>
    <w:rsid w:val="00994571"/>
    <w:rsid w:val="009946BE"/>
    <w:rsid w:val="0099682C"/>
    <w:rsid w:val="009973D8"/>
    <w:rsid w:val="00997DE2"/>
    <w:rsid w:val="009A1045"/>
    <w:rsid w:val="009A52B1"/>
    <w:rsid w:val="009A76ED"/>
    <w:rsid w:val="009B02AB"/>
    <w:rsid w:val="009B2180"/>
    <w:rsid w:val="009B4B44"/>
    <w:rsid w:val="009B5184"/>
    <w:rsid w:val="009B676F"/>
    <w:rsid w:val="009B6E33"/>
    <w:rsid w:val="009C3A9D"/>
    <w:rsid w:val="009C44F7"/>
    <w:rsid w:val="009D0896"/>
    <w:rsid w:val="009D398A"/>
    <w:rsid w:val="009D3A3A"/>
    <w:rsid w:val="009D4899"/>
    <w:rsid w:val="009D57BB"/>
    <w:rsid w:val="009D610B"/>
    <w:rsid w:val="009E2291"/>
    <w:rsid w:val="009E513B"/>
    <w:rsid w:val="009F2A2A"/>
    <w:rsid w:val="009F54B5"/>
    <w:rsid w:val="009F7F09"/>
    <w:rsid w:val="00A01894"/>
    <w:rsid w:val="00A04414"/>
    <w:rsid w:val="00A1670F"/>
    <w:rsid w:val="00A2115F"/>
    <w:rsid w:val="00A22560"/>
    <w:rsid w:val="00A23197"/>
    <w:rsid w:val="00A23A70"/>
    <w:rsid w:val="00A26A4F"/>
    <w:rsid w:val="00A35112"/>
    <w:rsid w:val="00A378D7"/>
    <w:rsid w:val="00A42845"/>
    <w:rsid w:val="00A51BBB"/>
    <w:rsid w:val="00A530FB"/>
    <w:rsid w:val="00A60D99"/>
    <w:rsid w:val="00A6322F"/>
    <w:rsid w:val="00A659B3"/>
    <w:rsid w:val="00A71E46"/>
    <w:rsid w:val="00A71EC0"/>
    <w:rsid w:val="00A72322"/>
    <w:rsid w:val="00A73DA7"/>
    <w:rsid w:val="00A83342"/>
    <w:rsid w:val="00A908BE"/>
    <w:rsid w:val="00A931C1"/>
    <w:rsid w:val="00A97F78"/>
    <w:rsid w:val="00AA618E"/>
    <w:rsid w:val="00AA75E6"/>
    <w:rsid w:val="00AB0368"/>
    <w:rsid w:val="00AB5011"/>
    <w:rsid w:val="00AB733A"/>
    <w:rsid w:val="00AC0AFA"/>
    <w:rsid w:val="00AC2C6A"/>
    <w:rsid w:val="00AC53AE"/>
    <w:rsid w:val="00AC6962"/>
    <w:rsid w:val="00AD081E"/>
    <w:rsid w:val="00AD1048"/>
    <w:rsid w:val="00AD2AB4"/>
    <w:rsid w:val="00AD4276"/>
    <w:rsid w:val="00AD7924"/>
    <w:rsid w:val="00AE29A8"/>
    <w:rsid w:val="00AF0B65"/>
    <w:rsid w:val="00AF0D04"/>
    <w:rsid w:val="00AF3605"/>
    <w:rsid w:val="00AF53AA"/>
    <w:rsid w:val="00AF667B"/>
    <w:rsid w:val="00B00A0D"/>
    <w:rsid w:val="00B010C7"/>
    <w:rsid w:val="00B01B15"/>
    <w:rsid w:val="00B02B0F"/>
    <w:rsid w:val="00B02C2E"/>
    <w:rsid w:val="00B07943"/>
    <w:rsid w:val="00B11C12"/>
    <w:rsid w:val="00B145EC"/>
    <w:rsid w:val="00B16B31"/>
    <w:rsid w:val="00B17960"/>
    <w:rsid w:val="00B21B05"/>
    <w:rsid w:val="00B244F4"/>
    <w:rsid w:val="00B246A0"/>
    <w:rsid w:val="00B25376"/>
    <w:rsid w:val="00B25749"/>
    <w:rsid w:val="00B34909"/>
    <w:rsid w:val="00B34A84"/>
    <w:rsid w:val="00B37077"/>
    <w:rsid w:val="00B4137D"/>
    <w:rsid w:val="00B41ADE"/>
    <w:rsid w:val="00B44A66"/>
    <w:rsid w:val="00B45BEA"/>
    <w:rsid w:val="00B47344"/>
    <w:rsid w:val="00B47637"/>
    <w:rsid w:val="00B5021F"/>
    <w:rsid w:val="00B521C5"/>
    <w:rsid w:val="00B528B0"/>
    <w:rsid w:val="00B61A2C"/>
    <w:rsid w:val="00B63419"/>
    <w:rsid w:val="00B63EC7"/>
    <w:rsid w:val="00B65BF1"/>
    <w:rsid w:val="00B728FC"/>
    <w:rsid w:val="00B734E7"/>
    <w:rsid w:val="00B73D73"/>
    <w:rsid w:val="00B75AFD"/>
    <w:rsid w:val="00B80407"/>
    <w:rsid w:val="00B809A9"/>
    <w:rsid w:val="00B82BB5"/>
    <w:rsid w:val="00B83E41"/>
    <w:rsid w:val="00B870E0"/>
    <w:rsid w:val="00B900C1"/>
    <w:rsid w:val="00B90743"/>
    <w:rsid w:val="00B927CE"/>
    <w:rsid w:val="00BA02A7"/>
    <w:rsid w:val="00BA46C1"/>
    <w:rsid w:val="00BA63F9"/>
    <w:rsid w:val="00BA75EA"/>
    <w:rsid w:val="00BB2182"/>
    <w:rsid w:val="00BB2BA7"/>
    <w:rsid w:val="00BB307B"/>
    <w:rsid w:val="00BB48F1"/>
    <w:rsid w:val="00BB5D21"/>
    <w:rsid w:val="00BB6332"/>
    <w:rsid w:val="00BB6335"/>
    <w:rsid w:val="00BC0CDA"/>
    <w:rsid w:val="00BC267C"/>
    <w:rsid w:val="00BC78E4"/>
    <w:rsid w:val="00BD04BD"/>
    <w:rsid w:val="00BD39E7"/>
    <w:rsid w:val="00BD77A0"/>
    <w:rsid w:val="00BE15BA"/>
    <w:rsid w:val="00BE18BF"/>
    <w:rsid w:val="00BE266F"/>
    <w:rsid w:val="00BE5356"/>
    <w:rsid w:val="00BE5B9A"/>
    <w:rsid w:val="00BE7A50"/>
    <w:rsid w:val="00BF73CF"/>
    <w:rsid w:val="00C00107"/>
    <w:rsid w:val="00C0133E"/>
    <w:rsid w:val="00C013FF"/>
    <w:rsid w:val="00C01402"/>
    <w:rsid w:val="00C018E1"/>
    <w:rsid w:val="00C12B79"/>
    <w:rsid w:val="00C133DC"/>
    <w:rsid w:val="00C267B5"/>
    <w:rsid w:val="00C26ACB"/>
    <w:rsid w:val="00C310A1"/>
    <w:rsid w:val="00C41D2B"/>
    <w:rsid w:val="00C43D81"/>
    <w:rsid w:val="00C441ED"/>
    <w:rsid w:val="00C52A01"/>
    <w:rsid w:val="00C553EC"/>
    <w:rsid w:val="00C56481"/>
    <w:rsid w:val="00C570C6"/>
    <w:rsid w:val="00C57494"/>
    <w:rsid w:val="00C601F9"/>
    <w:rsid w:val="00C63422"/>
    <w:rsid w:val="00C71DE5"/>
    <w:rsid w:val="00C72503"/>
    <w:rsid w:val="00C774FA"/>
    <w:rsid w:val="00C8506E"/>
    <w:rsid w:val="00C87A0D"/>
    <w:rsid w:val="00C91F5A"/>
    <w:rsid w:val="00C957DF"/>
    <w:rsid w:val="00CA075D"/>
    <w:rsid w:val="00CA0DAC"/>
    <w:rsid w:val="00CA15E7"/>
    <w:rsid w:val="00CA23C5"/>
    <w:rsid w:val="00CA480D"/>
    <w:rsid w:val="00CA5DAB"/>
    <w:rsid w:val="00CB4189"/>
    <w:rsid w:val="00CB4B47"/>
    <w:rsid w:val="00CC387C"/>
    <w:rsid w:val="00CC78BC"/>
    <w:rsid w:val="00CD068F"/>
    <w:rsid w:val="00CD4ACB"/>
    <w:rsid w:val="00CD5B69"/>
    <w:rsid w:val="00CE3693"/>
    <w:rsid w:val="00CE7DFF"/>
    <w:rsid w:val="00CF0A84"/>
    <w:rsid w:val="00CF1883"/>
    <w:rsid w:val="00CF3B5E"/>
    <w:rsid w:val="00CF4398"/>
    <w:rsid w:val="00CF5A2D"/>
    <w:rsid w:val="00CF61AF"/>
    <w:rsid w:val="00D03A4D"/>
    <w:rsid w:val="00D03BDA"/>
    <w:rsid w:val="00D04B02"/>
    <w:rsid w:val="00D0716A"/>
    <w:rsid w:val="00D132FF"/>
    <w:rsid w:val="00D13AF2"/>
    <w:rsid w:val="00D17B35"/>
    <w:rsid w:val="00D208D9"/>
    <w:rsid w:val="00D2203B"/>
    <w:rsid w:val="00D222E1"/>
    <w:rsid w:val="00D2325F"/>
    <w:rsid w:val="00D24DE5"/>
    <w:rsid w:val="00D33428"/>
    <w:rsid w:val="00D405C8"/>
    <w:rsid w:val="00D522A1"/>
    <w:rsid w:val="00D537E2"/>
    <w:rsid w:val="00D544EC"/>
    <w:rsid w:val="00D545CB"/>
    <w:rsid w:val="00D569EC"/>
    <w:rsid w:val="00D5718B"/>
    <w:rsid w:val="00D706B5"/>
    <w:rsid w:val="00D72259"/>
    <w:rsid w:val="00D815C2"/>
    <w:rsid w:val="00D82D9D"/>
    <w:rsid w:val="00D845A9"/>
    <w:rsid w:val="00D872F9"/>
    <w:rsid w:val="00D9613D"/>
    <w:rsid w:val="00D974F9"/>
    <w:rsid w:val="00DA10BA"/>
    <w:rsid w:val="00DA3FE0"/>
    <w:rsid w:val="00DA6F75"/>
    <w:rsid w:val="00DB4716"/>
    <w:rsid w:val="00DC03A8"/>
    <w:rsid w:val="00DC2F5F"/>
    <w:rsid w:val="00DC3CAC"/>
    <w:rsid w:val="00DC42C6"/>
    <w:rsid w:val="00DC4312"/>
    <w:rsid w:val="00DC7654"/>
    <w:rsid w:val="00DD3193"/>
    <w:rsid w:val="00DD36C6"/>
    <w:rsid w:val="00DD4C48"/>
    <w:rsid w:val="00DD687B"/>
    <w:rsid w:val="00DE1D56"/>
    <w:rsid w:val="00DE2E0F"/>
    <w:rsid w:val="00DE5BD2"/>
    <w:rsid w:val="00DE68E2"/>
    <w:rsid w:val="00DE7821"/>
    <w:rsid w:val="00DE7EA9"/>
    <w:rsid w:val="00DF0189"/>
    <w:rsid w:val="00DF39F6"/>
    <w:rsid w:val="00E02103"/>
    <w:rsid w:val="00E04F6F"/>
    <w:rsid w:val="00E110C8"/>
    <w:rsid w:val="00E21239"/>
    <w:rsid w:val="00E2184E"/>
    <w:rsid w:val="00E21A4B"/>
    <w:rsid w:val="00E23CAF"/>
    <w:rsid w:val="00E25BB8"/>
    <w:rsid w:val="00E25CC5"/>
    <w:rsid w:val="00E273C4"/>
    <w:rsid w:val="00E3211A"/>
    <w:rsid w:val="00E32C90"/>
    <w:rsid w:val="00E332B9"/>
    <w:rsid w:val="00E36EFA"/>
    <w:rsid w:val="00E41C35"/>
    <w:rsid w:val="00E42CD2"/>
    <w:rsid w:val="00E468FC"/>
    <w:rsid w:val="00E5468C"/>
    <w:rsid w:val="00E573DD"/>
    <w:rsid w:val="00E603EC"/>
    <w:rsid w:val="00E61054"/>
    <w:rsid w:val="00E61105"/>
    <w:rsid w:val="00E64FD2"/>
    <w:rsid w:val="00E73CD8"/>
    <w:rsid w:val="00E743C6"/>
    <w:rsid w:val="00E7562C"/>
    <w:rsid w:val="00E77501"/>
    <w:rsid w:val="00E8180D"/>
    <w:rsid w:val="00E81F95"/>
    <w:rsid w:val="00E905ED"/>
    <w:rsid w:val="00E928D6"/>
    <w:rsid w:val="00E93126"/>
    <w:rsid w:val="00E96645"/>
    <w:rsid w:val="00EA04F1"/>
    <w:rsid w:val="00EA2442"/>
    <w:rsid w:val="00EA2536"/>
    <w:rsid w:val="00EA2E92"/>
    <w:rsid w:val="00EA2F12"/>
    <w:rsid w:val="00EA5D6B"/>
    <w:rsid w:val="00EA67A3"/>
    <w:rsid w:val="00EB01E7"/>
    <w:rsid w:val="00EB4470"/>
    <w:rsid w:val="00EB485B"/>
    <w:rsid w:val="00EB69DE"/>
    <w:rsid w:val="00EC2658"/>
    <w:rsid w:val="00EC4551"/>
    <w:rsid w:val="00EC7D6A"/>
    <w:rsid w:val="00ED0511"/>
    <w:rsid w:val="00ED06DE"/>
    <w:rsid w:val="00ED1C2A"/>
    <w:rsid w:val="00ED7458"/>
    <w:rsid w:val="00EE072D"/>
    <w:rsid w:val="00EE0A90"/>
    <w:rsid w:val="00EE4314"/>
    <w:rsid w:val="00EE57E8"/>
    <w:rsid w:val="00EE6A5B"/>
    <w:rsid w:val="00EE7B10"/>
    <w:rsid w:val="00EF1C1F"/>
    <w:rsid w:val="00EF4134"/>
    <w:rsid w:val="00EF5F69"/>
    <w:rsid w:val="00EF6D74"/>
    <w:rsid w:val="00F01F81"/>
    <w:rsid w:val="00F046F1"/>
    <w:rsid w:val="00F0476F"/>
    <w:rsid w:val="00F13B12"/>
    <w:rsid w:val="00F167F4"/>
    <w:rsid w:val="00F226C4"/>
    <w:rsid w:val="00F2312C"/>
    <w:rsid w:val="00F232B4"/>
    <w:rsid w:val="00F2733E"/>
    <w:rsid w:val="00F3133F"/>
    <w:rsid w:val="00F36E73"/>
    <w:rsid w:val="00F377A9"/>
    <w:rsid w:val="00F42A94"/>
    <w:rsid w:val="00F4371F"/>
    <w:rsid w:val="00F45429"/>
    <w:rsid w:val="00F45D5E"/>
    <w:rsid w:val="00F469DD"/>
    <w:rsid w:val="00F47F3C"/>
    <w:rsid w:val="00F50481"/>
    <w:rsid w:val="00F50E12"/>
    <w:rsid w:val="00F51E32"/>
    <w:rsid w:val="00F53548"/>
    <w:rsid w:val="00F5405E"/>
    <w:rsid w:val="00F547A8"/>
    <w:rsid w:val="00F55605"/>
    <w:rsid w:val="00F561A7"/>
    <w:rsid w:val="00F622EB"/>
    <w:rsid w:val="00F659E9"/>
    <w:rsid w:val="00F72FFB"/>
    <w:rsid w:val="00F73A09"/>
    <w:rsid w:val="00F82C74"/>
    <w:rsid w:val="00F870EF"/>
    <w:rsid w:val="00F87C65"/>
    <w:rsid w:val="00F93B8B"/>
    <w:rsid w:val="00F949B5"/>
    <w:rsid w:val="00F96E86"/>
    <w:rsid w:val="00FA595A"/>
    <w:rsid w:val="00FA5B5D"/>
    <w:rsid w:val="00FA61B4"/>
    <w:rsid w:val="00FB167C"/>
    <w:rsid w:val="00FC1749"/>
    <w:rsid w:val="00FC2C82"/>
    <w:rsid w:val="00FD15F9"/>
    <w:rsid w:val="00FD3CFA"/>
    <w:rsid w:val="00FD4115"/>
    <w:rsid w:val="00FE112C"/>
    <w:rsid w:val="00FE4C28"/>
    <w:rsid w:val="00FF127E"/>
    <w:rsid w:val="00FF3DF3"/>
    <w:rsid w:val="00FF4C1C"/>
    <w:rsid w:val="00FF565E"/>
    <w:rsid w:val="00FF6505"/>
    <w:rsid w:val="00FF6A89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table" w:styleId="aa">
    <w:name w:val="Table Grid"/>
    <w:basedOn w:val="a1"/>
    <w:rsid w:val="0008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541C2"/>
    <w:rPr>
      <w:color w:val="0000FF"/>
      <w:u w:val="single"/>
    </w:rPr>
  </w:style>
  <w:style w:type="character" w:styleId="ac">
    <w:name w:val="Strong"/>
    <w:uiPriority w:val="22"/>
    <w:qFormat/>
    <w:rsid w:val="002541C2"/>
    <w:rPr>
      <w:b/>
      <w:bCs/>
    </w:rPr>
  </w:style>
  <w:style w:type="paragraph" w:customStyle="1" w:styleId="Default">
    <w:name w:val="Default"/>
    <w:rsid w:val="002541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D571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718B"/>
    <w:pPr>
      <w:widowControl w:val="0"/>
      <w:shd w:val="clear" w:color="auto" w:fill="FFFFFF"/>
      <w:spacing w:before="180" w:after="60" w:line="307" w:lineRule="exact"/>
      <w:ind w:firstLine="720"/>
      <w:jc w:val="both"/>
    </w:pPr>
    <w:rPr>
      <w:sz w:val="26"/>
      <w:szCs w:val="26"/>
    </w:rPr>
  </w:style>
  <w:style w:type="character" w:customStyle="1" w:styleId="21">
    <w:name w:val="Основний текст (2)_"/>
    <w:link w:val="22"/>
    <w:rsid w:val="000650D1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ий текст (2) + 11 pt;Не напівжирний"/>
    <w:rsid w:val="0006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0650D1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C18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7C1803"/>
    <w:rPr>
      <w:sz w:val="24"/>
      <w:szCs w:val="24"/>
    </w:rPr>
  </w:style>
  <w:style w:type="paragraph" w:styleId="a5">
    <w:name w:val="footer"/>
    <w:basedOn w:val="a"/>
    <w:link w:val="a6"/>
    <w:rsid w:val="007C180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7C1803"/>
    <w:rPr>
      <w:sz w:val="24"/>
      <w:szCs w:val="24"/>
    </w:rPr>
  </w:style>
  <w:style w:type="paragraph" w:styleId="a7">
    <w:name w:val="Balloon Text"/>
    <w:basedOn w:val="a"/>
    <w:link w:val="a8"/>
    <w:rsid w:val="007C1803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7C18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62109"/>
  </w:style>
  <w:style w:type="character" w:customStyle="1" w:styleId="rvts9">
    <w:name w:val="rvts9"/>
    <w:rsid w:val="00662109"/>
  </w:style>
  <w:style w:type="character" w:customStyle="1" w:styleId="211">
    <w:name w:val="Основной текст (2) + 11"/>
    <w:aliases w:val="5 pt"/>
    <w:uiPriority w:val="99"/>
    <w:rsid w:val="006B3C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8pt">
    <w:name w:val="Основной текст (2) + 8 pt"/>
    <w:uiPriority w:val="99"/>
    <w:rsid w:val="006B3C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3D0394"/>
    <w:rPr>
      <w:rFonts w:ascii="Courier New" w:hAnsi="Courier New" w:cs="Courier New"/>
    </w:rPr>
  </w:style>
  <w:style w:type="character" w:customStyle="1" w:styleId="a9">
    <w:name w:val="Без интервала Знак"/>
    <w:link w:val="1"/>
    <w:locked/>
    <w:rsid w:val="00445262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a9"/>
    <w:rsid w:val="00445262"/>
    <w:rPr>
      <w:sz w:val="22"/>
      <w:szCs w:val="22"/>
    </w:rPr>
  </w:style>
  <w:style w:type="table" w:styleId="aa">
    <w:name w:val="Table Grid"/>
    <w:basedOn w:val="a1"/>
    <w:rsid w:val="0008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541C2"/>
    <w:rPr>
      <w:color w:val="0000FF"/>
      <w:u w:val="single"/>
    </w:rPr>
  </w:style>
  <w:style w:type="character" w:styleId="ac">
    <w:name w:val="Strong"/>
    <w:uiPriority w:val="22"/>
    <w:qFormat/>
    <w:rsid w:val="002541C2"/>
    <w:rPr>
      <w:b/>
      <w:bCs/>
    </w:rPr>
  </w:style>
  <w:style w:type="paragraph" w:customStyle="1" w:styleId="Default">
    <w:name w:val="Default"/>
    <w:rsid w:val="002541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04E4-0E3B-4E63-9A48-9E52819B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2335</Words>
  <Characters>17790</Characters>
  <Application>Microsoft Office Word</Application>
  <DocSecurity>0</DocSecurity>
  <Lines>148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за результатами оцінки корупційних ризиків у діяльності МВС</vt:lpstr>
      <vt:lpstr>Звіт за результатами оцінки корупційних ризиків у діяльності МВС</vt:lpstr>
    </vt:vector>
  </TitlesOfParts>
  <Company>Home</Company>
  <LinksUpToDate>false</LinksUpToDate>
  <CharactersWithSpaces>20085</CharactersWithSpaces>
  <SharedDoc>false</SharedDoc>
  <HLinks>
    <vt:vector size="18" baseType="variant"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результатами оцінки корупційних ризиків у діяльності МВС</dc:title>
  <dc:creator>2</dc:creator>
  <cp:lastModifiedBy>Станіслав Олексієнко</cp:lastModifiedBy>
  <cp:revision>5</cp:revision>
  <cp:lastPrinted>2019-02-27T12:30:00Z</cp:lastPrinted>
  <dcterms:created xsi:type="dcterms:W3CDTF">2019-12-06T08:41:00Z</dcterms:created>
  <dcterms:modified xsi:type="dcterms:W3CDTF">2019-12-22T09:41:00Z</dcterms:modified>
</cp:coreProperties>
</file>